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jc w:val="center"/>
        <w:rPr>
          <w:rFonts w:ascii="宋体" w:hAnsi="宋体" w:cs="宋体"/>
          <w:b/>
          <w:bCs/>
          <w:sz w:val="60"/>
          <w:szCs w:val="60"/>
        </w:rPr>
      </w:pPr>
      <w:r>
        <w:rPr>
          <w:rFonts w:ascii="宋体" w:hAnsi="宋体" w:cs="宋体"/>
          <w:b/>
          <w:bCs/>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center"/>
        <w:spacing w:line="360" w:lineRule="auto"/>
        <w:rPr>
          <w:rFonts w:ascii="宋体" w:hAnsi="宋体" w:cs="宋体"/>
          <w:sz w:val="60"/>
          <w:szCs w:val="60"/>
        </w:rPr>
      </w:pPr>
      <w:r>
        <w:rPr>
          <w:rFonts w:ascii="宋体" w:hAnsi="宋体" w:cs="宋体"/>
          <w:sz w:val="60"/>
          <w:szCs w:val="60"/>
        </w:rPr>
      </w:r>
      <w:r/>
    </w:p>
    <w:p>
      <w:pPr>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1440"/>
        <w:spacing w:line="360" w:lineRule="auto"/>
        <w:rPr>
          <w:rFonts w:hint="eastAsia" w:ascii="宋体" w:hAnsi="宋体" w:cs="宋体"/>
          <w:bCs/>
          <w:color w:val="000000"/>
          <w:sz w:val="36"/>
          <w:szCs w:val="36"/>
          <w:highlight w:val="none"/>
          <w:lang w:eastAsia="zh-CN"/>
        </w:rPr>
      </w:pPr>
      <w:r>
        <w:rPr>
          <w:rFonts w:hint="eastAsia" w:ascii="宋体" w:hAnsi="宋体" w:cs="宋体"/>
          <w:bCs/>
          <w:sz w:val="36"/>
          <w:szCs w:val="36"/>
        </w:rPr>
        <w:t xml:space="preserve">项目名称：</w:t>
      </w:r>
      <w:r>
        <w:rPr>
          <w:rFonts w:hint="eastAsia" w:ascii="宋体" w:hAnsi="宋体" w:cs="宋体"/>
          <w:bCs/>
          <w:color w:val="000000"/>
          <w:sz w:val="36"/>
          <w:szCs w:val="36"/>
          <w:highlight w:val="none"/>
          <w:lang w:eastAsia="zh-CN"/>
        </w:rPr>
        <w:t xml:space="preserve">焚烧综合处置中心2026年度</w:t>
      </w:r>
      <w:r/>
    </w:p>
    <w:p>
      <w:pPr>
        <w:ind w:firstLine="3240"/>
        <w:spacing w:line="360" w:lineRule="auto"/>
        <w:rPr>
          <w:rFonts w:hint="eastAsia" w:ascii="宋体" w:hAnsi="宋体" w:cs="宋体"/>
          <w:bCs/>
          <w:sz w:val="36"/>
          <w:szCs w:val="36"/>
          <w:highlight w:val="none"/>
        </w:rPr>
      </w:pPr>
      <w:r>
        <w:rPr>
          <w:rFonts w:hint="eastAsia" w:ascii="宋体" w:hAnsi="宋体" w:cs="宋体"/>
          <w:bCs/>
          <w:color w:val="000000"/>
          <w:sz w:val="36"/>
          <w:szCs w:val="36"/>
          <w:highlight w:val="none"/>
          <w:lang w:eastAsia="zh-CN"/>
        </w:rPr>
        <w:t xml:space="preserve">飞灰稳定化处理药剂采购</w:t>
      </w:r>
      <w:r/>
    </w:p>
    <w:p>
      <w:pPr>
        <w:ind w:firstLine="14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hint="eastAsia" w:ascii="宋体" w:hAnsi="宋体" w:eastAsia="宋体" w:cs="宋体"/>
          <w:bCs/>
          <w:color w:val="000000"/>
          <w:sz w:val="36"/>
          <w:szCs w:val="36"/>
          <w:highlight w:val="none"/>
          <w:lang w:eastAsia="zh-CN"/>
        </w:rPr>
        <w:t xml:space="preserve">JSZC-320400-CZZH-G2025-0081</w:t>
      </w:r>
      <w:r/>
    </w:p>
    <w:p>
      <w:pPr>
        <w:ind w:firstLine="144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采 购 人：</w:t>
      </w:r>
      <w:r>
        <w:rPr>
          <w:rFonts w:hint="eastAsia" w:ascii="宋体" w:hAnsi="宋体" w:cs="宋体"/>
          <w:bCs/>
          <w:sz w:val="36"/>
          <w:szCs w:val="36"/>
          <w:lang w:eastAsia="zh-CN"/>
        </w:rPr>
        <w:t xml:space="preserve">常州市环境卫生管理中心</w:t>
      </w:r>
      <w:r/>
    </w:p>
    <w:p>
      <w:pPr>
        <w:ind w:firstLine="14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采购代理机构：常州正衡招投标有限公司 </w:t>
      </w:r>
      <w:r/>
    </w:p>
    <w:p>
      <w:pPr>
        <w:jc w:val="center"/>
        <w:widowControl/>
        <w:rPr>
          <w:rFonts w:ascii="宋体" w:hAnsi="宋体" w:cs="宋体"/>
          <w:bCs/>
          <w:sz w:val="36"/>
          <w:szCs w:val="36"/>
        </w:rPr>
      </w:pPr>
      <w:r>
        <w:rPr>
          <w:rFonts w:ascii="宋体" w:hAnsi="宋体" w:cs="宋体"/>
          <w:bCs/>
          <w:sz w:val="36"/>
          <w:szCs w:val="36"/>
        </w:rPr>
      </w:r>
      <w:r/>
    </w:p>
    <w:p>
      <w:pPr>
        <w:pStyle w:val="1043"/>
      </w:pPr>
      <w:r/>
      <w:r/>
    </w:p>
    <w:p>
      <w:pPr>
        <w:jc w:val="center"/>
        <w:widowControl/>
        <w:rPr>
          <w:b/>
          <w:bCs/>
          <w:sz w:val="44"/>
        </w:rPr>
      </w:pPr>
      <w:r>
        <w:rPr>
          <w:rFonts w:hint="eastAsia" w:ascii="宋体" w:hAnsi="宋体" w:cs="宋体"/>
          <w:bCs/>
          <w:sz w:val="36"/>
          <w:szCs w:val="36"/>
        </w:rPr>
        <w:t xml:space="preserve">二零二五年</w:t>
      </w:r>
      <w:r>
        <w:rPr>
          <w:rFonts w:hint="eastAsia" w:ascii="宋体" w:hAnsi="宋体" w:cs="宋体"/>
          <w:bCs/>
          <w:sz w:val="36"/>
          <w:szCs w:val="36"/>
          <w:lang w:val="en-US" w:eastAsia="zh-CN"/>
        </w:rPr>
        <w:t xml:space="preserve">十二</w:t>
      </w:r>
      <w:r>
        <w:rPr>
          <w:rFonts w:hint="eastAsia" w:ascii="宋体" w:hAnsi="宋体" w:cs="宋体"/>
          <w:bCs/>
          <w:sz w:val="36"/>
          <w:szCs w:val="36"/>
        </w:rPr>
        <w:t xml:space="preserve">月</w:t>
      </w:r>
      <w:r>
        <w:rPr>
          <w:b/>
          <w:bCs/>
          <w:sz w:val="44"/>
        </w:rPr>
        <w:br w:type="page" w:clear="all"/>
      </w:r>
      <w:r/>
    </w:p>
    <w:p>
      <w:pPr>
        <w:jc w:val="center"/>
        <w:spacing w:line="360" w:lineRule="auto"/>
        <w:rPr>
          <w:b/>
          <w:sz w:val="36"/>
          <w:szCs w:val="36"/>
        </w:rPr>
        <w:outlineLvl w:val="0"/>
      </w:pPr>
      <w:r/>
      <w:bookmarkStart w:id="0" w:name="_Toc99301418"/>
      <w:r>
        <w:rPr>
          <w:b/>
          <w:sz w:val="36"/>
          <w:szCs w:val="36"/>
        </w:rPr>
        <w:t xml:space="preserve">目      录</w:t>
      </w:r>
      <w:bookmarkEnd w:id="0"/>
      <w:r/>
      <w:r/>
    </w:p>
    <w:p>
      <w:r/>
      <w:r/>
    </w:p>
    <w:p>
      <w:r/>
      <w:r/>
    </w:p>
    <w:p>
      <w:r/>
      <w:r/>
    </w:p>
    <w:p>
      <w:pPr>
        <w:pStyle w:val="1058"/>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58"/>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1075"/>
          <w:rFonts w:ascii="Times New Roman" w:hAnsi="Times New Roman"/>
        </w:rPr>
        <w:t xml:space="preserve">第一章   </w:t>
      </w:r>
      <w:r>
        <w:rPr>
          <w:rStyle w:val="1075"/>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1058"/>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1075"/>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1058"/>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1075"/>
          <w:rFonts w:ascii="Times New Roman" w:hAnsi="Times New Roman"/>
        </w:rPr>
        <w:t xml:space="preserve">第三章   资</w:t>
      </w:r>
      <w:bookmarkStart w:id="1" w:name="_Hlt100754117"/>
      <w:r>
        <w:rPr>
          <w:rStyle w:val="1075"/>
          <w:rFonts w:ascii="Times New Roman" w:hAnsi="Times New Roman"/>
        </w:rPr>
        <w:t xml:space="preserve">格</w:t>
      </w:r>
      <w:bookmarkEnd w:id="1"/>
      <w:r>
        <w:rPr>
          <w:rStyle w:val="1075"/>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1058"/>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1075"/>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1058"/>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1075"/>
          <w:rFonts w:ascii="Times New Roman" w:hAnsi="Times New Roman"/>
        </w:rPr>
        <w:t xml:space="preserve">第五章   采购</w:t>
      </w:r>
      <w:bookmarkStart w:id="2" w:name="_Hlt100754103"/>
      <w:r/>
      <w:bookmarkStart w:id="3" w:name="_Hlt100754102"/>
      <w:r>
        <w:rPr>
          <w:rStyle w:val="1075"/>
          <w:rFonts w:ascii="Times New Roman" w:hAnsi="Times New Roman"/>
        </w:rPr>
        <w:t xml:space="preserve">需</w:t>
      </w:r>
      <w:bookmarkEnd w:id="2"/>
      <w:r/>
      <w:bookmarkEnd w:id="3"/>
      <w:r>
        <w:rPr>
          <w:rStyle w:val="1075"/>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1058"/>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1075"/>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1058"/>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1075"/>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4</w:t>
      </w:r>
      <w:r>
        <w:rPr>
          <w:rFonts w:hint="eastAsia" w:ascii="Times New Roman" w:hAnsi="Times New Roman"/>
        </w:rPr>
        <w:fldChar w:fldCharType="end"/>
      </w:r>
      <w:r>
        <w:rPr>
          <w:rFonts w:hint="eastAsia" w:ascii="Times New Roman" w:hAnsi="Times New Roman"/>
        </w:rPr>
        <w:t xml:space="preserve">0</w:t>
      </w:r>
      <w:r/>
    </w:p>
    <w:p>
      <w:pPr>
        <w:pStyle w:val="1058"/>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rFonts w:ascii="宋体" w:hAnsi="宋体" w:cs="宋体"/>
          <w:b/>
          <w:sz w:val="36"/>
          <w:szCs w:val="36"/>
        </w:rPr>
      </w:pPr>
      <w:r>
        <w:rPr>
          <w:sz w:val="24"/>
        </w:rPr>
        <w:br w:type="page" w:clear="all"/>
      </w:r>
      <w:r>
        <w:rPr>
          <w:rFonts w:hint="eastAsia" w:ascii="宋体" w:hAnsi="宋体" w:cs="宋体"/>
          <w:b/>
          <w:sz w:val="36"/>
          <w:szCs w:val="36"/>
        </w:rPr>
        <w:t xml:space="preserve">第一章   招标公告</w:t>
      </w:r>
      <w:r/>
    </w:p>
    <w:tbl>
      <w:tblPr>
        <w:tblStyle w:val="10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22"/>
              <w:jc w:val="left"/>
              <w:spacing w:line="360" w:lineRule="auto"/>
              <w:widowControl/>
              <w:rPr>
                <w:rFonts w:ascii="宋体" w:hAnsi="宋体" w:cs="宋体"/>
                <w:b/>
                <w:szCs w:val="21"/>
              </w:rPr>
            </w:pPr>
            <w:r>
              <w:rPr>
                <w:rFonts w:hint="eastAsia" w:ascii="宋体" w:hAnsi="宋体" w:cs="宋体"/>
                <w:b/>
                <w:szCs w:val="21"/>
              </w:rPr>
              <w:t xml:space="preserve">项目概况</w:t>
            </w:r>
            <w:r/>
          </w:p>
          <w:p>
            <w:pPr>
              <w:ind w:firstLine="422"/>
              <w:jc w:val="left"/>
              <w:spacing w:line="360" w:lineRule="auto"/>
              <w:widowControl/>
              <w:rPr>
                <w:rFonts w:ascii="宋体" w:hAnsi="宋体" w:cs="宋体"/>
                <w:szCs w:val="21"/>
              </w:rPr>
            </w:pPr>
            <w:r>
              <w:rPr>
                <w:rFonts w:hint="eastAsia" w:ascii="宋体" w:hAnsi="宋体" w:cs="宋体"/>
                <w:b/>
                <w:bCs/>
                <w:szCs w:val="21"/>
                <w:u w:val="single"/>
                <w:lang w:eastAsia="zh-CN"/>
              </w:rPr>
              <w:t xml:space="preserve">焚烧综合处置中心2026年度飞灰稳定化处理药剂采购</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6</w:t>
            </w:r>
            <w:r>
              <w:rPr>
                <w:rFonts w:hint="eastAsia" w:ascii="宋体" w:hAnsi="宋体" w:cs="宋体"/>
                <w:b/>
                <w:szCs w:val="21"/>
              </w:rPr>
              <w:t xml:space="preserve">年</w:t>
            </w:r>
            <w:r>
              <w:rPr>
                <w:rFonts w:hint="eastAsia" w:ascii="宋体" w:hAnsi="宋体" w:cs="宋体"/>
                <w:b/>
                <w:szCs w:val="21"/>
                <w:lang w:val="en-US" w:eastAsia="zh-CN"/>
              </w:rPr>
              <w:t xml:space="preserve">1</w:t>
            </w:r>
            <w:r>
              <w:rPr>
                <w:rFonts w:hint="eastAsia" w:ascii="宋体" w:hAnsi="宋体" w:cs="宋体"/>
                <w:b/>
                <w:szCs w:val="21"/>
              </w:rPr>
              <w:t xml:space="preserve">月</w:t>
            </w:r>
            <w:r>
              <w:rPr>
                <w:rFonts w:hint="eastAsia" w:ascii="宋体" w:hAnsi="宋体" w:cs="宋体"/>
                <w:b/>
                <w:szCs w:val="21"/>
                <w:lang w:val="en-US" w:eastAsia="zh-CN"/>
              </w:rPr>
              <w:t xml:space="preserve">14</w:t>
            </w:r>
            <w:r>
              <w:rPr>
                <w:rFonts w:hint="eastAsia" w:ascii="宋体" w:hAnsi="宋体" w:cs="宋体"/>
                <w:b/>
                <w:szCs w:val="21"/>
              </w:rPr>
              <w:t xml:space="preserve">日9:30</w:t>
            </w:r>
            <w:r>
              <w:rPr>
                <w:rFonts w:hint="eastAsia" w:ascii="宋体" w:hAnsi="宋体" w:cs="宋体"/>
                <w:szCs w:val="21"/>
              </w:rPr>
              <w:t xml:space="preserve">（北京时间）前提交投标文件。</w:t>
            </w:r>
            <w:r/>
          </w:p>
        </w:tc>
      </w:tr>
    </w:tbl>
    <w:p>
      <w:pPr>
        <w:spacing w:line="360" w:lineRule="auto"/>
        <w:rPr>
          <w:rFonts w:ascii="宋体" w:hAnsi="宋体" w:cs="宋体"/>
          <w:b/>
          <w:bCs/>
          <w:szCs w:val="21"/>
        </w:rPr>
      </w:pPr>
      <w:r>
        <w:rPr>
          <w:rFonts w:hint="eastAsia" w:ascii="宋体" w:hAnsi="宋体" w:cs="宋体"/>
          <w:b/>
          <w:bCs/>
          <w:szCs w:val="21"/>
        </w:rPr>
        <w:t xml:space="preserve">一、项目基本概况：</w:t>
      </w:r>
      <w:r/>
    </w:p>
    <w:p>
      <w:pPr>
        <w:spacing w:line="360" w:lineRule="auto"/>
        <w:rPr>
          <w:rFonts w:ascii="宋体" w:hAnsi="宋体" w:cs="宋体"/>
          <w:b/>
          <w:bCs/>
          <w:szCs w:val="21"/>
        </w:rPr>
      </w:pPr>
      <w:r>
        <w:rPr>
          <w:rFonts w:hint="eastAsia" w:ascii="宋体" w:hAnsi="宋体" w:cs="宋体"/>
          <w:b/>
          <w:bCs/>
          <w:szCs w:val="21"/>
        </w:rPr>
        <w:t xml:space="preserve">项目名称：</w:t>
      </w:r>
      <w:r>
        <w:rPr>
          <w:rFonts w:hint="eastAsia" w:ascii="宋体" w:hAnsi="宋体" w:cs="宋体"/>
          <w:szCs w:val="21"/>
          <w:lang w:eastAsia="zh-CN"/>
        </w:rPr>
        <w:t xml:space="preserve">焚烧综合处置中心2026年度飞灰稳定化处理药剂采购</w:t>
      </w:r>
      <w:r/>
    </w:p>
    <w:p>
      <w:pPr>
        <w:spacing w:line="360" w:lineRule="auto"/>
        <w:rPr>
          <w:rFonts w:ascii="宋体" w:hAnsi="宋体" w:cs="宋体"/>
          <w:szCs w:val="21"/>
        </w:rPr>
      </w:pPr>
      <w:r>
        <w:rPr>
          <w:rFonts w:hint="eastAsia" w:ascii="宋体" w:hAnsi="宋体" w:cs="宋体"/>
          <w:b/>
          <w:bCs/>
          <w:szCs w:val="21"/>
        </w:rPr>
        <w:t xml:space="preserve">项目编号：</w:t>
      </w:r>
      <w:r>
        <w:rPr>
          <w:rFonts w:hint="eastAsia" w:ascii="宋体" w:hAnsi="宋体" w:cs="宋体"/>
          <w:szCs w:val="21"/>
          <w:lang w:eastAsia="zh-CN"/>
        </w:rPr>
        <w:t xml:space="preserve">JSZC-320400-CZZH-G2025-0081</w:t>
      </w:r>
      <w:r/>
    </w:p>
    <w:p>
      <w:pPr>
        <w:spacing w:line="360" w:lineRule="auto"/>
        <w:rPr>
          <w:rFonts w:ascii="宋体" w:hAnsi="宋体" w:cs="宋体"/>
          <w:szCs w:val="21"/>
          <w:highlight w:val="none"/>
          <w:u w:val="single"/>
        </w:rPr>
      </w:pPr>
      <w:r>
        <w:rPr>
          <w:rFonts w:hint="eastAsia" w:ascii="宋体" w:hAnsi="宋体" w:cs="宋体"/>
          <w:b/>
          <w:bCs/>
          <w:szCs w:val="21"/>
          <w:highlight w:val="none"/>
        </w:rPr>
        <w:t xml:space="preserve">预算金额：</w:t>
      </w:r>
      <w:r>
        <w:rPr>
          <w:rFonts w:hint="eastAsia" w:ascii="宋体" w:hAnsi="宋体" w:cs="宋体"/>
          <w:szCs w:val="21"/>
          <w:highlight w:val="none"/>
          <w:lang w:val="en-US" w:eastAsia="zh-CN"/>
        </w:rPr>
        <w:t xml:space="preserve">237.6</w:t>
      </w:r>
      <w:r>
        <w:rPr>
          <w:rFonts w:hint="eastAsia" w:ascii="宋体" w:hAnsi="宋体" w:cs="宋体"/>
          <w:szCs w:val="21"/>
          <w:highlight w:val="none"/>
        </w:rPr>
        <w:t xml:space="preserve">万元</w:t>
      </w:r>
      <w:r/>
    </w:p>
    <w:p>
      <w:pPr>
        <w:spacing w:line="360" w:lineRule="auto"/>
        <w:rPr>
          <w:rFonts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rPr>
        <w:t xml:space="preserve">：</w:t>
      </w:r>
      <w:r>
        <w:rPr>
          <w:rFonts w:hint="eastAsia" w:ascii="宋体" w:hAnsi="宋体" w:eastAsia="宋体" w:cs="宋体"/>
          <w:color w:val="000000"/>
          <w:sz w:val="21"/>
          <w:szCs w:val="21"/>
          <w:highlight w:val="none"/>
          <w:u w:val="none"/>
          <w:lang w:val="en-US" w:eastAsia="zh-CN"/>
        </w:rPr>
        <w:t xml:space="preserve">237.6万元。其中综合单价限价：</w:t>
      </w:r>
      <w:r>
        <w:rPr>
          <w:rFonts w:hint="eastAsia" w:ascii="宋体" w:hAnsi="宋体" w:eastAsia="宋体" w:cs="宋体"/>
          <w:color w:val="000000"/>
          <w:sz w:val="21"/>
          <w:szCs w:val="21"/>
          <w:highlight w:val="none"/>
          <w:u w:val="none"/>
          <w:lang w:eastAsia="zh-CN"/>
        </w:rPr>
        <w:t xml:space="preserve">飞灰螯合剂（哌嗪-DTC-钾盐）</w:t>
      </w:r>
      <w:r>
        <w:rPr>
          <w:rFonts w:hint="eastAsia" w:ascii="宋体" w:hAnsi="宋体" w:eastAsia="宋体" w:cs="宋体"/>
          <w:color w:val="000000"/>
          <w:sz w:val="21"/>
          <w:szCs w:val="21"/>
          <w:highlight w:val="none"/>
          <w:u w:val="none"/>
          <w:lang w:val="en-US" w:eastAsia="zh-CN"/>
        </w:rPr>
        <w:t xml:space="preserve">综合单价</w:t>
      </w:r>
      <w:r>
        <w:rPr>
          <w:rFonts w:hint="eastAsia" w:ascii="宋体" w:hAnsi="宋体" w:eastAsia="宋体" w:cs="宋体"/>
          <w:color w:val="000000"/>
          <w:sz w:val="21"/>
          <w:szCs w:val="21"/>
          <w:highlight w:val="none"/>
          <w:u w:val="none"/>
          <w:lang w:eastAsia="zh-CN"/>
        </w:rPr>
        <w:t xml:space="preserve">限价</w:t>
      </w:r>
      <w:r>
        <w:rPr>
          <w:rFonts w:hint="eastAsia" w:ascii="宋体" w:hAnsi="宋体" w:eastAsia="宋体" w:cs="宋体"/>
          <w:color w:val="000000"/>
          <w:sz w:val="21"/>
          <w:szCs w:val="21"/>
          <w:highlight w:val="none"/>
          <w:u w:val="none"/>
          <w:lang w:val="en-US" w:eastAsia="zh-CN"/>
        </w:rPr>
        <w:t xml:space="preserve">9200</w:t>
      </w:r>
      <w:r>
        <w:rPr>
          <w:rFonts w:hint="eastAsia" w:ascii="宋体" w:hAnsi="宋体" w:eastAsia="宋体" w:cs="宋体"/>
          <w:color w:val="000000"/>
          <w:sz w:val="21"/>
          <w:szCs w:val="21"/>
          <w:highlight w:val="none"/>
          <w:u w:val="none"/>
          <w:lang w:eastAsia="zh-CN"/>
        </w:rPr>
        <w:t xml:space="preserve">元</w:t>
      </w:r>
      <w:r>
        <w:rPr>
          <w:rFonts w:hint="eastAsia" w:ascii="宋体" w:hAnsi="宋体" w:eastAsia="宋体" w:cs="宋体"/>
          <w:color w:val="000000"/>
          <w:sz w:val="21"/>
          <w:szCs w:val="21"/>
          <w:highlight w:val="none"/>
          <w:u w:val="none"/>
          <w:lang w:val="en-US" w:eastAsia="zh-CN"/>
        </w:rPr>
        <w:t xml:space="preserve">/吨；</w:t>
      </w:r>
      <w:r>
        <w:rPr>
          <w:rFonts w:hint="eastAsia" w:ascii="宋体" w:hAnsi="宋体" w:eastAsia="宋体" w:cs="宋体"/>
          <w:color w:val="000000"/>
          <w:sz w:val="21"/>
          <w:szCs w:val="21"/>
          <w:highlight w:val="none"/>
          <w:u w:val="none"/>
          <w:lang w:eastAsia="zh-CN"/>
        </w:rPr>
        <w:t xml:space="preserve">飞灰螯合剂（福美钠）</w:t>
      </w:r>
      <w:r>
        <w:rPr>
          <w:rFonts w:hint="eastAsia" w:ascii="宋体" w:hAnsi="宋体" w:eastAsia="宋体" w:cs="宋体"/>
          <w:color w:val="000000"/>
          <w:sz w:val="21"/>
          <w:szCs w:val="21"/>
          <w:highlight w:val="none"/>
          <w:u w:val="none"/>
          <w:lang w:val="en-US" w:eastAsia="zh-CN"/>
        </w:rPr>
        <w:t xml:space="preserve">综合单价</w:t>
      </w:r>
      <w:r>
        <w:rPr>
          <w:rFonts w:hint="eastAsia" w:ascii="宋体" w:hAnsi="宋体" w:eastAsia="宋体" w:cs="宋体"/>
          <w:color w:val="000000"/>
          <w:sz w:val="21"/>
          <w:szCs w:val="21"/>
          <w:highlight w:val="none"/>
          <w:u w:val="none"/>
          <w:lang w:eastAsia="zh-CN"/>
        </w:rPr>
        <w:t xml:space="preserve">限价</w:t>
      </w:r>
      <w:r>
        <w:rPr>
          <w:rFonts w:hint="eastAsia" w:ascii="宋体" w:hAnsi="宋体" w:eastAsia="宋体" w:cs="宋体"/>
          <w:color w:val="000000"/>
          <w:sz w:val="21"/>
          <w:szCs w:val="21"/>
          <w:highlight w:val="none"/>
          <w:u w:val="none"/>
          <w:lang w:val="en-US" w:eastAsia="zh-CN"/>
        </w:rPr>
        <w:t xml:space="preserve">4400</w:t>
      </w:r>
      <w:r>
        <w:rPr>
          <w:rFonts w:hint="eastAsia" w:ascii="宋体" w:hAnsi="宋体" w:eastAsia="宋体" w:cs="宋体"/>
          <w:color w:val="000000"/>
          <w:sz w:val="21"/>
          <w:szCs w:val="21"/>
          <w:highlight w:val="none"/>
          <w:u w:val="none"/>
          <w:lang w:eastAsia="zh-CN"/>
        </w:rPr>
        <w:t xml:space="preserve">元</w:t>
      </w:r>
      <w:r>
        <w:rPr>
          <w:rFonts w:hint="eastAsia" w:ascii="宋体" w:hAnsi="宋体" w:eastAsia="宋体" w:cs="宋体"/>
          <w:color w:val="000000"/>
          <w:sz w:val="21"/>
          <w:szCs w:val="21"/>
          <w:highlight w:val="none"/>
          <w:u w:val="none"/>
          <w:lang w:val="en-US" w:eastAsia="zh-CN"/>
        </w:rPr>
        <w:t xml:space="preserve">/吨。</w:t>
      </w:r>
      <w:r/>
    </w:p>
    <w:p>
      <w:pP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采购需求：</w:t>
      </w:r>
      <w:r/>
    </w:p>
    <w:tbl>
      <w:tblPr>
        <w:tblStyle w:val="1036"/>
        <w:tblW w:w="4352"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885"/>
        <w:gridCol w:w="1746"/>
        <w:gridCol w:w="3713"/>
      </w:tblGrid>
      <w:tr>
        <w:trPr>
          <w:trHeight w:val="454"/>
        </w:trPr>
        <w:tc>
          <w:tcPr>
            <w:tcW w:w="74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包号</w:t>
            </w:r>
            <w:r/>
          </w:p>
        </w:tc>
        <w:tc>
          <w:tcPr>
            <w:tcW w:w="188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p>
        </w:tc>
        <w:tc>
          <w:tcPr>
            <w:tcW w:w="174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p>
        </w:tc>
        <w:tc>
          <w:tcPr>
            <w:tcW w:w="3714"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p>
        </w:tc>
      </w:tr>
      <w:tr>
        <w:trPr>
          <w:trHeight w:val="1033"/>
        </w:trPr>
        <w:tc>
          <w:tcPr>
            <w:tcW w:w="74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p>
        </w:tc>
        <w:tc>
          <w:tcPr>
            <w:tcW w:w="1885" w:type="dxa"/>
            <w:vAlign w:val="center"/>
            <w:textDirection w:val="lrTb"/>
            <w:noWrap w:val="false"/>
          </w:tcPr>
          <w:p>
            <w:pPr>
              <w:jc w:val="left"/>
              <w:rPr>
                <w:rFonts w:hint="eastAsia" w:ascii="宋体" w:hAnsi="宋体" w:cs="宋体"/>
                <w:color w:val="000000"/>
                <w:spacing w:val="2"/>
                <w:szCs w:val="21"/>
                <w:highlight w:val="none"/>
                <w:lang w:val="zh-CN"/>
              </w:rPr>
            </w:pPr>
            <w:r>
              <w:rPr>
                <w:rFonts w:hint="eastAsia" w:ascii="宋体" w:hAnsi="宋体" w:cs="宋体"/>
                <w:color w:val="000000"/>
                <w:spacing w:val="2"/>
                <w:szCs w:val="21"/>
                <w:highlight w:val="none"/>
                <w:lang w:val="en-US" w:eastAsia="zh-CN"/>
              </w:rPr>
              <w:t xml:space="preserve">焚烧综合处置中心2026年度飞灰稳定化处理药剂采购</w:t>
            </w:r>
            <w:r/>
          </w:p>
        </w:tc>
        <w:tc>
          <w:tcPr>
            <w:tcW w:w="1746" w:type="dxa"/>
            <w:vAlign w:val="center"/>
            <w:textDirection w:val="lrTb"/>
            <w:noWrap w:val="false"/>
          </w:tcPr>
          <w:p>
            <w:pPr>
              <w:jc w:val="center"/>
              <w:spacing w:line="360" w:lineRule="auto"/>
              <w:rPr>
                <w:rFonts w:ascii="宋体" w:hAnsi="宋体" w:eastAsia="宋体" w:cs="宋体"/>
                <w:bCs/>
                <w:color w:val="000000"/>
                <w:szCs w:val="21"/>
                <w:highlight w:val="none"/>
                <w:lang w:val="en-US" w:eastAsia="zh-CN"/>
              </w:rPr>
            </w:pPr>
            <w:r>
              <w:rPr>
                <w:rFonts w:hint="eastAsia" w:ascii="宋体" w:hAnsi="宋体" w:eastAsia="宋体" w:cs="宋体"/>
                <w:color w:val="000000"/>
                <w:sz w:val="21"/>
                <w:szCs w:val="21"/>
                <w:highlight w:val="none"/>
                <w:u w:val="none"/>
                <w:lang w:val="en-US" w:eastAsia="zh-CN"/>
              </w:rPr>
              <w:t xml:space="preserve">237.6</w:t>
            </w:r>
            <w:r/>
          </w:p>
        </w:tc>
        <w:tc>
          <w:tcPr>
            <w:tcW w:w="3714" w:type="dxa"/>
            <w:vAlign w:val="center"/>
            <w:textDirection w:val="lrTb"/>
            <w:noWrap w:val="false"/>
          </w:tcPr>
          <w:p>
            <w:pPr>
              <w:jc w:val="left"/>
              <w:rPr>
                <w:rFonts w:hint="eastAsia" w:ascii="宋体" w:hAnsi="宋体" w:cs="宋体"/>
                <w:color w:val="000000"/>
                <w:spacing w:val="2"/>
                <w:szCs w:val="21"/>
                <w:highlight w:val="none"/>
              </w:rPr>
            </w:pPr>
            <w:r>
              <w:rPr>
                <w:rFonts w:hint="eastAsia" w:ascii="宋体" w:hAnsi="宋体" w:cs="宋体"/>
                <w:color w:val="000000"/>
                <w:spacing w:val="2"/>
                <w:szCs w:val="21"/>
                <w:highlight w:val="none"/>
                <w:lang w:val="en-US" w:eastAsia="zh-CN"/>
              </w:rPr>
              <w:t xml:space="preserve">生活垃圾焚烧</w:t>
            </w:r>
            <w:r>
              <w:rPr>
                <w:rFonts w:hint="eastAsia" w:ascii="宋体" w:hAnsi="宋体" w:eastAsia="宋体" w:cs="宋体"/>
                <w:color w:val="000000"/>
                <w:spacing w:val="2"/>
                <w:szCs w:val="21"/>
                <w:highlight w:val="none"/>
                <w:lang w:val="en-US" w:eastAsia="zh-CN"/>
              </w:rPr>
              <w:t xml:space="preserve">飞灰处理用有机螯合剂的采购。</w:t>
            </w:r>
            <w:r/>
          </w:p>
        </w:tc>
      </w:tr>
    </w:tbl>
    <w:p>
      <w:pPr>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详见采购需求。</w:t>
      </w:r>
      <w:r/>
    </w:p>
    <w:p>
      <w:pPr>
        <w:numPr>
          <w:ilvl w:val="0"/>
          <w:numId w:val="0"/>
        </w:numPr>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bidi="ar"/>
        </w:rPr>
        <w:outlineLvl w:val="1"/>
      </w:pPr>
      <w:r>
        <w:rPr>
          <w:rFonts w:hint="eastAsia" w:ascii="宋体" w:hAnsi="宋体" w:cs="宋体"/>
          <w:b/>
          <w:bCs/>
          <w:color w:val="000000" w:themeColor="text1"/>
          <w:szCs w:val="21"/>
          <w:highlight w:val="none"/>
          <w14:textFill>
            <w14:solidFill>
              <w14:schemeClr w14:val="tx1"/>
            </w14:solidFill>
          </w14:textFill>
        </w:rPr>
        <w:t xml:space="preserve">合同履行期限：</w:t>
      </w:r>
      <w:r>
        <w:rPr>
          <w:rFonts w:hint="eastAsia" w:ascii="宋体" w:hAnsi="宋体" w:cs="宋体"/>
          <w:color w:val="000000"/>
          <w:sz w:val="21"/>
          <w:szCs w:val="21"/>
          <w:highlight w:val="none"/>
          <w:u w:val="none"/>
          <w:lang w:val="en-US" w:eastAsia="zh-CN"/>
        </w:rPr>
        <w:t xml:space="preserve">签订合同之日起</w:t>
      </w:r>
      <w:r>
        <w:rPr>
          <w:rFonts w:hint="eastAsia" w:ascii="宋体" w:hAnsi="宋体" w:eastAsia="宋体" w:cs="宋体"/>
          <w:color w:val="000000"/>
          <w:sz w:val="21"/>
          <w:szCs w:val="21"/>
          <w:highlight w:val="none"/>
          <w:u w:val="none"/>
        </w:rPr>
        <w:t xml:space="preserve">至202</w:t>
      </w:r>
      <w:r>
        <w:rPr>
          <w:rFonts w:hint="eastAsia" w:ascii="宋体" w:hAnsi="宋体" w:eastAsia="宋体" w:cs="宋体"/>
          <w:color w:val="000000"/>
          <w:sz w:val="21"/>
          <w:szCs w:val="21"/>
          <w:highlight w:val="none"/>
          <w:u w:val="none"/>
          <w:lang w:val="en-US" w:eastAsia="zh-CN"/>
        </w:rPr>
        <w:t xml:space="preserve">6</w:t>
      </w:r>
      <w:r>
        <w:rPr>
          <w:rFonts w:hint="eastAsia" w:ascii="宋体" w:hAnsi="宋体" w:eastAsia="宋体" w:cs="宋体"/>
          <w:color w:val="000000"/>
          <w:sz w:val="21"/>
          <w:szCs w:val="21"/>
          <w:highlight w:val="none"/>
          <w:u w:val="none"/>
        </w:rPr>
        <w:t xml:space="preserve">年12月31日。</w:t>
      </w:r>
      <w:r/>
    </w:p>
    <w:p>
      <w:pPr>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rPr>
        <w:t xml:space="preserve">二、申请人的资格要求：</w:t>
      </w:r>
      <w:r/>
    </w:p>
    <w:p>
      <w:pPr>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1.满足《中华人民共和国政府采购法》第二十二条规定；</w:t>
      </w:r>
      <w:r/>
    </w:p>
    <w:p>
      <w:pPr>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2.落实政府采购政策需满足的资格要求：</w:t>
      </w:r>
      <w:r/>
    </w:p>
    <w:p>
      <w:pPr>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2.1中小企业政策</w:t>
      </w:r>
      <w:r/>
    </w:p>
    <w:p>
      <w:pPr>
        <w:spacing w:line="360" w:lineRule="auto"/>
        <w:rPr>
          <w:rFonts w:ascii="宋体" w:hAnsi="宋体" w:cs="宋体"/>
          <w:szCs w:val="21"/>
          <w:highlight w:val="none"/>
        </w:rPr>
      </w:pPr>
      <w:r>
        <w:rPr>
          <w:rFonts w:hint="eastAsia" w:ascii="宋体" w:hAnsi="宋体" w:cs="宋体"/>
          <w:szCs w:val="21"/>
          <w:highlight w:val="none"/>
        </w:rPr>
        <w:t xml:space="preserve">本项目专门面向中小企业采购。即：提供的货物全部由符合政策要求的中小企业制造。</w:t>
      </w:r>
      <w:r/>
    </w:p>
    <w:p>
      <w:pPr>
        <w:spacing w:line="360" w:lineRule="auto"/>
        <w:rPr>
          <w:rFonts w:ascii="宋体" w:hAnsi="宋体" w:cs="宋体"/>
          <w:szCs w:val="21"/>
        </w:rPr>
      </w:pPr>
      <w:r>
        <w:rPr>
          <w:rFonts w:hint="eastAsia" w:ascii="宋体" w:hAnsi="宋体" w:cs="宋体"/>
          <w:szCs w:val="21"/>
        </w:rPr>
        <w:t xml:space="preserve">2.2 其它落实政府采购政策的资格要求（如有）：无。</w:t>
      </w:r>
      <w:r/>
    </w:p>
    <w:p>
      <w:pPr>
        <w:spacing w:line="360" w:lineRule="auto"/>
        <w:rPr>
          <w:rFonts w:ascii="宋体" w:hAnsi="宋体" w:cs="宋体"/>
          <w:szCs w:val="21"/>
        </w:rPr>
      </w:pPr>
      <w:r>
        <w:rPr>
          <w:rFonts w:hint="eastAsia" w:ascii="宋体" w:hAnsi="宋体" w:cs="宋体"/>
          <w:szCs w:val="21"/>
        </w:rPr>
        <w:t xml:space="preserve">3.本项目的特定资格要求：</w:t>
      </w:r>
      <w:r/>
    </w:p>
    <w:p>
      <w:pPr>
        <w:spacing w:line="360" w:lineRule="auto"/>
        <w:rPr>
          <w:rFonts w:ascii="宋体" w:hAnsi="宋体" w:cs="宋体"/>
          <w:szCs w:val="21"/>
        </w:rPr>
      </w:pPr>
      <w:r>
        <w:rPr>
          <w:rFonts w:hint="eastAsia" w:ascii="宋体" w:hAnsi="宋体" w:cs="宋体"/>
          <w:szCs w:val="21"/>
        </w:rPr>
        <w:t xml:space="preserve">3.1未被“信用中国”网站（WWW.creditchina.gov.cn）或“中国政府采购网”网站（www.ccgp.gov.cn）列入失信被执行人、重大税收违法案件当事人名单、政府采购严重失信行为记录名单；</w:t>
      </w:r>
      <w:r/>
    </w:p>
    <w:p>
      <w:pPr>
        <w:spacing w:line="360" w:lineRule="auto"/>
        <w:rPr>
          <w:rFonts w:ascii="宋体" w:hAnsi="宋体" w:cs="宋体"/>
          <w:szCs w:val="21"/>
        </w:rPr>
      </w:pPr>
      <w:r>
        <w:rPr>
          <w:rFonts w:hint="eastAsia" w:ascii="宋体" w:hAnsi="宋体" w:cs="宋体"/>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ascii="宋体" w:hAnsi="宋体" w:cs="宋体"/>
          <w:szCs w:val="21"/>
        </w:rPr>
      </w:pPr>
      <w:r>
        <w:rPr>
          <w:rFonts w:hint="eastAsia" w:ascii="宋体" w:hAnsi="宋体" w:cs="宋体"/>
          <w:szCs w:val="21"/>
        </w:rPr>
        <w:t xml:space="preserve">3.3本项目不接受联合体投标，投标单位成交后不允许转包；</w:t>
      </w:r>
      <w:r/>
    </w:p>
    <w:p>
      <w:pPr>
        <w:spacing w:line="360" w:lineRule="auto"/>
        <w:rPr>
          <w:rFonts w:ascii="宋体" w:hAnsi="宋体" w:cs="宋体"/>
          <w:szCs w:val="21"/>
        </w:rPr>
      </w:pPr>
      <w:r>
        <w:rPr>
          <w:rFonts w:hint="eastAsia" w:ascii="宋体" w:hAnsi="宋体" w:cs="宋体"/>
          <w:szCs w:val="21"/>
        </w:rPr>
        <w:t xml:space="preserve">3.4本项目是否接受分支机构参与投标：否；</w:t>
      </w:r>
      <w:r/>
    </w:p>
    <w:p>
      <w:pPr>
        <w:spacing w:line="360" w:lineRule="auto"/>
        <w:tabs>
          <w:tab w:val="left" w:pos="900" w:leader="none"/>
          <w:tab w:val="left" w:pos="1134" w:leader="none"/>
          <w:tab w:val="left" w:pos="1589" w:leader="none"/>
          <w:tab w:val="left" w:pos="5521" w:leader="none"/>
        </w:tabs>
        <w:rPr>
          <w:rFonts w:ascii="宋体" w:hAnsi="宋体" w:cs="宋体"/>
          <w:bCs/>
          <w:spacing w:val="2"/>
          <w:szCs w:val="21"/>
        </w:rPr>
      </w:pPr>
      <w:r>
        <w:rPr>
          <w:rFonts w:hint="eastAsia" w:ascii="宋体" w:hAnsi="宋体" w:cs="宋体"/>
          <w:szCs w:val="21"/>
        </w:rPr>
        <w:t xml:space="preserve">3.5本项目是否属于政府购买服务：否；</w:t>
      </w:r>
      <w:r/>
    </w:p>
    <w:p>
      <w:pPr>
        <w:spacing w:line="360" w:lineRule="auto"/>
      </w:pPr>
      <w:r>
        <w:rPr>
          <w:rFonts w:hint="eastAsia" w:ascii="宋体" w:hAnsi="宋体" w:cs="宋体"/>
          <w:szCs w:val="21"/>
        </w:rPr>
        <w:t xml:space="preserve">3.6本项目是否接受进口产品响应：否；</w:t>
      </w:r>
      <w:r/>
    </w:p>
    <w:p>
      <w:pPr>
        <w:spacing w:line="360" w:lineRule="auto"/>
        <w:tabs>
          <w:tab w:val="left" w:pos="900" w:leader="none"/>
          <w:tab w:val="left" w:pos="1134" w:leader="none"/>
          <w:tab w:val="left" w:pos="1589" w:leader="none"/>
          <w:tab w:val="left" w:pos="5521" w:leader="none"/>
        </w:tabs>
        <w:rPr>
          <w:rFonts w:hint="eastAsia" w:eastAsia="宋体"/>
          <w:b w:val="0"/>
          <w:bCs w:val="0"/>
          <w:sz w:val="24"/>
          <w:lang w:eastAsia="zh-CN"/>
        </w:rPr>
      </w:pPr>
      <w:r>
        <w:rPr>
          <w:rFonts w:hint="eastAsia" w:ascii="宋体" w:hAnsi="宋体" w:cs="宋体"/>
          <w:b w:val="0"/>
          <w:bCs w:val="0"/>
          <w:szCs w:val="21"/>
        </w:rPr>
        <w:t xml:space="preserve">3.7其他特定资格要求：</w:t>
      </w:r>
      <w:r>
        <w:rPr>
          <w:rFonts w:hint="eastAsia" w:ascii="宋体" w:hAnsi="宋体" w:cs="宋体"/>
          <w:b w:val="0"/>
          <w:bCs w:val="0"/>
          <w:szCs w:val="21"/>
          <w:lang w:val="en-US" w:eastAsia="zh-CN"/>
        </w:rPr>
        <w:t xml:space="preserve">无</w:t>
      </w:r>
      <w:r/>
    </w:p>
    <w:p>
      <w:pPr>
        <w:pStyle w:val="1027"/>
        <w:jc w:val="left"/>
        <w:spacing w:before="0" w:line="360" w:lineRule="auto"/>
        <w:widowControl/>
        <w:rPr>
          <w:rFonts w:ascii="Times New Roman" w:hAnsi="Times New Roman" w:eastAsia="宋体"/>
          <w:bCs/>
          <w:sz w:val="21"/>
          <w:szCs w:val="32"/>
        </w:rPr>
      </w:pPr>
      <w:r/>
      <w:bookmarkStart w:id="4" w:name="_Toc35393623"/>
      <w:r/>
      <w:bookmarkStart w:id="5" w:name="_Toc35393792"/>
      <w:r>
        <w:rPr>
          <w:rFonts w:hint="eastAsia" w:ascii="Times New Roman" w:hAnsi="Times New Roman" w:eastAsia="宋体"/>
          <w:bCs/>
          <w:sz w:val="21"/>
          <w:szCs w:val="32"/>
        </w:rPr>
        <w:t xml:space="preserve">三、获取采购文件</w:t>
      </w:r>
      <w:bookmarkEnd w:id="4"/>
      <w:r/>
      <w:bookmarkEnd w:id="5"/>
      <w:r/>
      <w:r/>
    </w:p>
    <w:p>
      <w:pPr>
        <w:spacing w:line="360" w:lineRule="auto"/>
        <w:rPr>
          <w:rFonts w:hint="eastAsia"/>
          <w:szCs w:val="32"/>
        </w:rPr>
      </w:pPr>
      <w:r>
        <w:rPr>
          <w:rFonts w:hint="eastAsia"/>
          <w:szCs w:val="32"/>
        </w:rPr>
        <w:t xml:space="preserve">1.时间：</w:t>
      </w:r>
      <w:r>
        <w:rPr>
          <w:rFonts w:hint="eastAsia" w:ascii="宋体" w:hAnsi="宋体" w:cs="宋体"/>
          <w:b w:val="0"/>
          <w:bCs w:val="0"/>
          <w:szCs w:val="21"/>
          <w:lang w:val="en-US" w:eastAsia="zh-CN"/>
        </w:rPr>
        <w:t xml:space="preserve">2025年12月19日-2025年12月25日</w:t>
      </w:r>
      <w:r>
        <w:rPr>
          <w:rFonts w:hint="eastAsia" w:ascii="宋体" w:hAnsi="宋体" w:cs="宋体"/>
          <w:b w:val="0"/>
          <w:bCs w:val="0"/>
          <w:szCs w:val="21"/>
        </w:rPr>
        <w:t xml:space="preserve"> </w:t>
      </w:r>
      <w:r/>
    </w:p>
    <w:p>
      <w:pPr>
        <w:spacing w:line="360" w:lineRule="auto"/>
        <w:rPr>
          <w:szCs w:val="32"/>
        </w:rPr>
      </w:pPr>
      <w:r>
        <w:rPr>
          <w:rFonts w:hint="eastAsia"/>
          <w:szCs w:val="32"/>
        </w:rPr>
        <w:t xml:space="preserve">2.地点：“苏采云”政府采购一体化平台</w:t>
      </w:r>
      <w:r/>
    </w:p>
    <w:p>
      <w:pPr>
        <w:jc w:val="left"/>
        <w:spacing w:line="360" w:lineRule="auto"/>
        <w:widowControl/>
        <w:rPr>
          <w:szCs w:val="32"/>
        </w:rPr>
      </w:pPr>
      <w:r>
        <w:rPr>
          <w:rFonts w:hint="eastAsia"/>
          <w:szCs w:val="32"/>
        </w:rPr>
        <w:t xml:space="preserve">3.方式：供应商持CA数字认证证书登录“苏采云”政府采购一体化平台获取电子版招标文件。</w:t>
      </w:r>
      <w:r/>
    </w:p>
    <w:p>
      <w:pPr>
        <w:jc w:val="left"/>
        <w:spacing w:line="360" w:lineRule="auto"/>
        <w:widowControl/>
        <w:rPr>
          <w:szCs w:val="32"/>
        </w:rPr>
      </w:pPr>
      <w:r>
        <w:rPr>
          <w:rFonts w:hint="eastAsia"/>
          <w:szCs w:val="32"/>
        </w:rPr>
        <w:t xml:space="preserve">4.售价：0元</w:t>
      </w:r>
      <w:r/>
    </w:p>
    <w:p>
      <w:pPr>
        <w:spacing w:line="360" w:lineRule="auto"/>
        <w:rPr>
          <w:b/>
          <w:bCs/>
          <w:szCs w:val="32"/>
        </w:rPr>
      </w:pPr>
      <w:r/>
      <w:bookmarkStart w:id="6" w:name="_Toc35393793"/>
      <w:r>
        <w:rPr>
          <w:rFonts w:hint="eastAsia"/>
          <w:b/>
          <w:bCs/>
          <w:szCs w:val="32"/>
        </w:rPr>
        <w:t xml:space="preserve">四、响应文件提交</w:t>
      </w:r>
      <w:r/>
    </w:p>
    <w:p>
      <w:pPr>
        <w:spacing w:line="360" w:lineRule="auto"/>
        <w:rPr>
          <w:szCs w:val="32"/>
        </w:rPr>
      </w:pPr>
      <w:r>
        <w:rPr>
          <w:rFonts w:hint="eastAsia"/>
          <w:szCs w:val="32"/>
        </w:rPr>
        <w:t xml:space="preserve">截止时间：</w:t>
      </w:r>
      <w:bookmarkEnd w:id="6"/>
      <w:r/>
      <w:bookmarkStart w:id="7" w:name="XMTBJSR_1"/>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14</w:t>
      </w:r>
      <w:r>
        <w:rPr>
          <w:rFonts w:hint="eastAsia"/>
          <w:szCs w:val="32"/>
        </w:rPr>
        <w:t xml:space="preserve">日 9点30分（北京时间）</w:t>
      </w:r>
      <w:r/>
    </w:p>
    <w:p>
      <w:pPr>
        <w:spacing w:line="360" w:lineRule="auto"/>
        <w:rPr>
          <w:szCs w:val="32"/>
        </w:rPr>
      </w:pPr>
      <w:r>
        <w:rPr>
          <w:rFonts w:hint="eastAsia"/>
          <w:szCs w:val="32"/>
        </w:rPr>
        <w:t xml:space="preserve">地点：本项目采用不见面交易方式，无需到现场提交，供应商登录“苏采云”政府采购一体化平台供应商端，通过系统在线提交电子投标文件</w:t>
      </w:r>
      <w:r/>
    </w:p>
    <w:p>
      <w:pPr>
        <w:spacing w:line="360" w:lineRule="auto"/>
        <w:rPr>
          <w:b/>
          <w:bCs/>
          <w:szCs w:val="32"/>
        </w:rPr>
      </w:pPr>
      <w:r>
        <w:rPr>
          <w:rFonts w:hint="eastAsia"/>
          <w:b/>
          <w:bCs/>
          <w:szCs w:val="32"/>
        </w:rPr>
        <w:t xml:space="preserve">五、开启</w:t>
      </w:r>
      <w:r/>
    </w:p>
    <w:p>
      <w:pPr>
        <w:spacing w:line="360" w:lineRule="auto"/>
        <w:rPr>
          <w:szCs w:val="32"/>
        </w:rPr>
      </w:pPr>
      <w:r>
        <w:rPr>
          <w:rFonts w:hint="eastAsia"/>
          <w:szCs w:val="32"/>
        </w:rPr>
        <w:t xml:space="preserve">时间：</w:t>
      </w:r>
      <w:bookmarkEnd w:id="7"/>
      <w:r/>
      <w:bookmarkStart w:id="8" w:name="XMTBJSR_2"/>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14</w:t>
      </w:r>
      <w:r>
        <w:rPr>
          <w:rFonts w:hint="eastAsia"/>
          <w:szCs w:val="32"/>
        </w:rPr>
        <w:t xml:space="preserve">日 9点30分（北京时间）</w:t>
      </w:r>
      <w:r/>
    </w:p>
    <w:p>
      <w:pPr>
        <w:spacing w:line="360" w:lineRule="auto"/>
        <w:rPr>
          <w:szCs w:val="32"/>
        </w:rPr>
      </w:pPr>
      <w:r>
        <w:rPr>
          <w:rFonts w:hint="eastAsia"/>
          <w:szCs w:val="32"/>
        </w:rPr>
        <w:t xml:space="preserve">地点：本项目采用不见面交易方式，无需到现场提交，供应商登录“苏采云”政府采购交易系统网上开标大厅，通过系统在线解密电子投标文件</w:t>
      </w:r>
      <w:bookmarkEnd w:id="8"/>
      <w:r/>
      <w:r/>
    </w:p>
    <w:p>
      <w:pPr>
        <w:pStyle w:val="1027"/>
        <w:jc w:val="left"/>
        <w:spacing w:before="0" w:line="360" w:lineRule="auto"/>
        <w:rPr>
          <w:rFonts w:ascii="Times New Roman" w:hAnsi="Times New Roman" w:eastAsia="宋体"/>
          <w:bCs/>
          <w:sz w:val="21"/>
          <w:szCs w:val="32"/>
        </w:rPr>
      </w:pPr>
      <w:r/>
      <w:bookmarkStart w:id="9" w:name="_Toc28359084"/>
      <w:r/>
      <w:bookmarkStart w:id="10" w:name="_Toc35393794"/>
      <w:r/>
      <w:bookmarkStart w:id="11" w:name="_Toc28359007"/>
      <w:r/>
      <w:bookmarkStart w:id="12" w:name="_Toc35393625"/>
      <w:r>
        <w:rPr>
          <w:rFonts w:hint="eastAsia" w:ascii="Times New Roman" w:hAnsi="Times New Roman" w:eastAsia="宋体"/>
          <w:bCs/>
          <w:sz w:val="21"/>
          <w:szCs w:val="32"/>
        </w:rPr>
        <w:t xml:space="preserve">六、公告期限</w:t>
      </w:r>
      <w:bookmarkEnd w:id="9"/>
      <w:r/>
      <w:bookmarkEnd w:id="10"/>
      <w:r/>
      <w:bookmarkEnd w:id="11"/>
      <w:r/>
      <w:bookmarkEnd w:id="12"/>
      <w:r/>
      <w:r/>
    </w:p>
    <w:p>
      <w:pPr>
        <w:spacing w:line="360" w:lineRule="auto"/>
        <w:rPr>
          <w:szCs w:val="32"/>
        </w:rPr>
      </w:pPr>
      <w:r>
        <w:rPr>
          <w:rFonts w:hint="eastAsia"/>
          <w:szCs w:val="32"/>
        </w:rPr>
        <w:t xml:space="preserve">自本公告发布之日起5个工作日。</w:t>
      </w:r>
      <w:r/>
    </w:p>
    <w:p>
      <w:pPr>
        <w:spacing w:line="360" w:lineRule="auto"/>
        <w:rPr>
          <w:rFonts w:ascii="宋体" w:hAnsi="宋体" w:cs="宋体"/>
          <w:szCs w:val="21"/>
        </w:rPr>
      </w:pPr>
      <w:r>
        <w:rPr>
          <w:rFonts w:hint="eastAsia" w:cs="宋体"/>
          <w:b/>
          <w:spacing w:val="2"/>
        </w:rPr>
        <w:t xml:space="preserve">七、其他补充事宜</w:t>
      </w:r>
      <w:r/>
    </w:p>
    <w:p>
      <w:pPr>
        <w:spacing w:line="360" w:lineRule="auto"/>
        <w:rPr>
          <w:rFonts w:hint="eastAsia"/>
          <w:szCs w:val="32"/>
          <w:lang w:eastAsia="zh-CN"/>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lang w:eastAsia="zh-CN"/>
        </w:rPr>
        <w:t xml:space="preserve">。</w:t>
      </w:r>
      <w:r/>
    </w:p>
    <w:p>
      <w:pPr>
        <w:spacing w:line="360" w:lineRule="auto"/>
        <w:rPr>
          <w:rFonts w:hint="eastAsia"/>
          <w:szCs w:val="32"/>
        </w:rPr>
      </w:pPr>
      <w:r>
        <w:rPr>
          <w:rFonts w:hint="eastAsia"/>
          <w:szCs w:val="32"/>
          <w:lang w:val="en-US" w:eastAsia="zh-CN"/>
        </w:rPr>
        <w:t xml:space="preserve">技术支持服务热线:0519-85588210</w:t>
      </w:r>
      <w:r/>
    </w:p>
    <w:p>
      <w:pPr>
        <w:spacing w:line="360" w:lineRule="auto"/>
        <w:rPr>
          <w:rFonts w:hint="eastAsia"/>
          <w:szCs w:val="32"/>
          <w:lang w:eastAsia="zh-CN"/>
        </w:rPr>
      </w:pPr>
      <w:r>
        <w:rPr>
          <w:rFonts w:hint="eastAsia"/>
          <w:szCs w:val="32"/>
        </w:rPr>
        <w:t xml:space="preserve">CA认证证书办理联系电话：0519-85588120</w:t>
      </w:r>
      <w:r/>
    </w:p>
    <w:p>
      <w:pPr>
        <w:spacing w:line="360" w:lineRule="auto"/>
        <w:rPr>
          <w:rFonts w:ascii="宋体" w:hAnsi="宋体" w:cs="宋体"/>
          <w:szCs w:val="21"/>
        </w:rPr>
      </w:pPr>
      <w:r>
        <w:rPr>
          <w:rFonts w:hint="eastAsia" w:ascii="宋体" w:hAnsi="宋体" w:cs="宋体"/>
          <w:szCs w:val="21"/>
        </w:rPr>
        <w:t xml:space="preserve">2.关于常州市中小企业政府采购信用融资：</w:t>
      </w:r>
      <w:r/>
    </w:p>
    <w:p>
      <w:pPr>
        <w:spacing w:line="360" w:lineRule="auto"/>
        <w:rPr>
          <w:rFonts w:hint="eastAsia" w:ascii="宋体" w:hAnsi="宋体" w:eastAsia="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p>
    <w:p>
      <w:pPr>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p>
    <w:p>
      <w:pPr>
        <w:spacing w:line="360" w:lineRule="auto"/>
        <w:rPr>
          <w:rFonts w:ascii="宋体" w:hAnsi="宋体" w:cs="宋体"/>
          <w:szCs w:val="21"/>
        </w:rPr>
      </w:pPr>
      <w:r>
        <w:rPr>
          <w:rFonts w:hint="eastAsia" w:ascii="宋体" w:hAnsi="宋体" w:cs="宋体"/>
          <w:szCs w:val="21"/>
        </w:rPr>
        <w:t xml:space="preserve">1.采购人信息</w:t>
      </w:r>
      <w:r/>
    </w:p>
    <w:p>
      <w:pPr>
        <w:spacing w:line="360" w:lineRule="auto"/>
        <w:rPr>
          <w:rFonts w:cs="宋体"/>
          <w:bCs/>
          <w:color w:val="000000"/>
          <w:spacing w:val="2"/>
        </w:rPr>
      </w:pPr>
      <w:r>
        <w:rPr>
          <w:rFonts w:hint="eastAsia" w:cs="宋体"/>
          <w:bCs/>
          <w:color w:val="000000"/>
          <w:spacing w:val="2"/>
        </w:rPr>
        <w:t xml:space="preserve">名 称：</w:t>
      </w:r>
      <w:r>
        <w:rPr>
          <w:rFonts w:hint="eastAsia" w:cs="宋体"/>
          <w:bCs/>
          <w:spacing w:val="2"/>
          <w:lang w:eastAsia="zh-CN"/>
        </w:rPr>
        <w:t xml:space="preserve">常州市环境卫生管理中心</w:t>
      </w:r>
      <w:r>
        <w:rPr>
          <w:rFonts w:hint="eastAsia" w:cs="宋体"/>
          <w:bCs/>
          <w:spacing w:val="2"/>
        </w:rPr>
        <w:t xml:space="preserve"> </w:t>
      </w:r>
      <w:r/>
    </w:p>
    <w:p>
      <w:pPr>
        <w:spacing w:line="360" w:lineRule="auto"/>
        <w:rPr>
          <w:rFonts w:cs="宋体"/>
          <w:bCs/>
          <w:spacing w:val="2"/>
        </w:rPr>
      </w:pPr>
      <w:r>
        <w:rPr>
          <w:rFonts w:hint="eastAsia" w:cs="宋体"/>
          <w:bCs/>
          <w:spacing w:val="2"/>
        </w:rPr>
        <w:t xml:space="preserve">地 址：</w:t>
      </w:r>
      <w:r>
        <w:rPr>
          <w:rFonts w:hint="eastAsia" w:cs="宋体"/>
          <w:bCs/>
          <w:spacing w:val="2"/>
          <w:lang w:eastAsia="zh-CN"/>
        </w:rPr>
        <w:t xml:space="preserve">常州市武进区遥观镇观庄村211号</w:t>
      </w:r>
      <w:r/>
    </w:p>
    <w:p>
      <w:pPr>
        <w:spacing w:line="360" w:lineRule="auto"/>
        <w:rPr>
          <w:rFonts w:hint="eastAsia" w:eastAsia="宋体" w:cs="宋体"/>
          <w:bCs/>
          <w:spacing w:val="2"/>
          <w:highlight w:val="none"/>
          <w:lang w:val="en-US" w:eastAsia="zh-CN"/>
        </w:rPr>
      </w:pPr>
      <w:r>
        <w:rPr>
          <w:rFonts w:hint="eastAsia" w:cs="宋体"/>
          <w:bCs/>
          <w:spacing w:val="2"/>
          <w:highlight w:val="none"/>
        </w:rPr>
        <w:t xml:space="preserve">联系人</w:t>
      </w:r>
      <w:r>
        <w:rPr>
          <w:rFonts w:hint="eastAsia" w:cs="宋体"/>
          <w:bCs/>
          <w:spacing w:val="2"/>
          <w:highlight w:val="none"/>
          <w:lang w:eastAsia="zh-CN"/>
        </w:rPr>
        <w:t xml:space="preserve">：</w:t>
      </w:r>
      <w:r>
        <w:rPr>
          <w:rFonts w:hint="eastAsia" w:cs="宋体"/>
          <w:bCs/>
          <w:spacing w:val="2"/>
          <w:highlight w:val="none"/>
          <w:lang w:val="en-US" w:eastAsia="zh-CN"/>
        </w:rPr>
        <w:t xml:space="preserve">杨曙云</w:t>
      </w:r>
      <w:r/>
    </w:p>
    <w:p>
      <w:pPr>
        <w:spacing w:line="360" w:lineRule="auto"/>
        <w:rPr>
          <w:rFonts w:hint="default" w:eastAsia="宋体" w:cs="宋体"/>
          <w:bCs/>
          <w:spacing w:val="2"/>
          <w:highlight w:val="none"/>
          <w:lang w:val="en-US" w:eastAsia="zh-CN"/>
        </w:rPr>
      </w:pPr>
      <w:r>
        <w:rPr>
          <w:rFonts w:hint="eastAsia" w:cs="宋体"/>
          <w:bCs/>
          <w:spacing w:val="2"/>
          <w:highlight w:val="none"/>
        </w:rPr>
        <w:t xml:space="preserve">电  话：</w:t>
      </w:r>
      <w:r>
        <w:rPr>
          <w:rFonts w:hint="eastAsia" w:cs="宋体"/>
          <w:bCs/>
          <w:spacing w:val="2"/>
          <w:highlight w:val="none"/>
          <w:lang w:val="en-US" w:eastAsia="zh-CN"/>
        </w:rPr>
        <w:t xml:space="preserve">0519-88771444-8002</w:t>
      </w:r>
      <w:r/>
    </w:p>
    <w:p>
      <w:pPr>
        <w:spacing w:line="360" w:lineRule="auto"/>
        <w:rPr>
          <w:rFonts w:ascii="宋体" w:hAnsi="宋体" w:cs="宋体"/>
          <w:szCs w:val="21"/>
        </w:rPr>
      </w:pPr>
      <w:r>
        <w:rPr>
          <w:rFonts w:hint="eastAsia" w:ascii="宋体" w:hAnsi="宋体" w:cs="宋体"/>
          <w:szCs w:val="21"/>
        </w:rPr>
        <w:t xml:space="preserve">2.采购代理机构信息</w:t>
      </w:r>
      <w:r/>
    </w:p>
    <w:p>
      <w:pPr>
        <w:spacing w:line="360" w:lineRule="auto"/>
        <w:rPr>
          <w:rFonts w:ascii="宋体" w:hAnsi="宋体" w:cs="宋体"/>
          <w:szCs w:val="21"/>
        </w:rPr>
      </w:pPr>
      <w:r>
        <w:rPr>
          <w:rFonts w:hint="eastAsia" w:ascii="宋体" w:hAnsi="宋体" w:cs="宋体"/>
          <w:szCs w:val="21"/>
        </w:rPr>
        <w:t xml:space="preserve">名 称：常州正衡招投标有限公司 </w:t>
      </w:r>
      <w:r/>
    </w:p>
    <w:p>
      <w:pPr>
        <w:spacing w:line="360" w:lineRule="auto"/>
        <w:rPr>
          <w:rFonts w:ascii="宋体" w:hAnsi="宋体" w:cs="宋体"/>
          <w:szCs w:val="21"/>
        </w:rPr>
      </w:pPr>
      <w:r>
        <w:rPr>
          <w:rFonts w:hint="eastAsia" w:ascii="宋体" w:hAnsi="宋体" w:cs="宋体"/>
          <w:szCs w:val="21"/>
        </w:rPr>
        <w:t xml:space="preserve">地 址：常州市新北区新城府翰苑6栋9楼</w:t>
      </w:r>
      <w:r/>
    </w:p>
    <w:p>
      <w:pPr>
        <w:spacing w:line="360" w:lineRule="auto"/>
        <w:rPr>
          <w:rFonts w:ascii="宋体" w:hAnsi="宋体" w:cs="宋体"/>
          <w:szCs w:val="21"/>
        </w:rPr>
      </w:pPr>
      <w:r>
        <w:rPr>
          <w:rFonts w:hint="eastAsia" w:ascii="宋体" w:hAnsi="宋体" w:cs="宋体"/>
          <w:szCs w:val="21"/>
        </w:rPr>
        <w:t xml:space="preserve">3.项目联系方式</w:t>
      </w:r>
      <w:r/>
    </w:p>
    <w:p>
      <w:pPr>
        <w:spacing w:line="360" w:lineRule="auto"/>
        <w:rPr>
          <w:rFonts w:hint="eastAsia" w:ascii="宋体" w:hAnsi="宋体" w:cs="宋体"/>
          <w:szCs w:val="21"/>
        </w:rPr>
      </w:pPr>
      <w:r>
        <w:rPr>
          <w:rFonts w:hint="eastAsia" w:ascii="宋体" w:hAnsi="宋体" w:cs="宋体"/>
          <w:szCs w:val="21"/>
        </w:rPr>
        <w:t xml:space="preserve">项目联系人：刘欢      </w:t>
      </w:r>
      <w:r/>
    </w:p>
    <w:p>
      <w:pPr>
        <w:spacing w:line="360" w:lineRule="auto"/>
        <w:rPr>
          <w:rFonts w:ascii="宋体" w:hAnsi="宋体" w:cs="宋体"/>
          <w:szCs w:val="21"/>
        </w:rPr>
      </w:pPr>
      <w:r>
        <w:rPr>
          <w:rFonts w:hint="eastAsia" w:ascii="宋体" w:hAnsi="宋体" w:cs="宋体"/>
          <w:szCs w:val="21"/>
        </w:rPr>
        <w:t xml:space="preserve">电　话：0519-85510566</w:t>
      </w:r>
      <w:r/>
    </w:p>
    <w:p>
      <w:pPr>
        <w:spacing w:line="360" w:lineRule="auto"/>
        <w:rPr>
          <w:rFonts w:ascii="宋体" w:hAnsi="宋体" w:cs="宋体"/>
          <w:szCs w:val="21"/>
        </w:rPr>
      </w:pPr>
      <w:r>
        <w:rPr>
          <w:rFonts w:ascii="宋体" w:hAnsi="宋体" w:cs="宋体"/>
          <w:szCs w:val="21"/>
        </w:rPr>
      </w:r>
      <w:r/>
    </w:p>
    <w:p>
      <w:pPr>
        <w:rPr>
          <w:szCs w:val="24"/>
        </w:rPr>
      </w:pPr>
      <w:r>
        <w:rPr>
          <w:szCs w:val="24"/>
        </w:rPr>
        <w:br w:type="page" w:clear="all"/>
      </w:r>
      <w:r/>
    </w:p>
    <w:p>
      <w:pPr>
        <w:pStyle w:val="1068"/>
        <w:ind w:left="0" w:firstLine="0"/>
        <w:rPr>
          <w:szCs w:val="24"/>
        </w:rPr>
      </w:pPr>
      <w:r>
        <w:rPr>
          <w:szCs w:val="24"/>
        </w:rPr>
      </w:r>
      <w:r/>
    </w:p>
    <w:p>
      <w:pPr>
        <w:jc w:val="center"/>
        <w:spacing w:line="360" w:lineRule="auto"/>
        <w:rPr>
          <w:b/>
          <w:sz w:val="32"/>
          <w:szCs w:val="32"/>
        </w:rPr>
        <w:outlineLvl w:val="0"/>
      </w:pPr>
      <w:r/>
      <w:bookmarkStart w:id="13" w:name="_Toc512937850"/>
      <w:r/>
      <w:bookmarkStart w:id="14" w:name="_Toc127161488"/>
      <w:r/>
      <w:bookmarkStart w:id="15" w:name="_Toc353873938"/>
      <w:r/>
      <w:bookmarkStart w:id="16" w:name="_Toc226965856"/>
      <w:r/>
      <w:bookmarkStart w:id="17" w:name="_Toc305158854"/>
      <w:r/>
      <w:bookmarkStart w:id="18" w:name="_Toc264969275"/>
      <w:r/>
      <w:bookmarkStart w:id="19" w:name="_Toc353825548"/>
      <w:r/>
      <w:bookmarkStart w:id="20" w:name="_Toc99301420"/>
      <w:r/>
      <w:bookmarkStart w:id="21" w:name="_Toc195842950"/>
      <w:r/>
      <w:bookmarkStart w:id="22" w:name="_Toc127151777"/>
      <w:r/>
      <w:bookmarkStart w:id="23" w:name="_Toc305158928"/>
      <w:r/>
      <w:bookmarkStart w:id="24" w:name="_Toc150774783"/>
      <w:r/>
      <w:bookmarkStart w:id="25" w:name="_Toc265228423"/>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1027"/>
        <w:spacing w:before="0" w:line="360" w:lineRule="auto"/>
        <w:tabs>
          <w:tab w:val="center" w:pos="4592" w:leader="none"/>
          <w:tab w:val="left" w:pos="7860" w:leader="none"/>
        </w:tabs>
        <w:rPr>
          <w:rFonts w:ascii="Times New Roman" w:hAnsi="Times New Roman" w:eastAsia="宋体"/>
          <w:sz w:val="28"/>
        </w:rPr>
      </w:pPr>
      <w:r/>
      <w:bookmarkStart w:id="26" w:name="_Toc164229360"/>
      <w:r/>
      <w:bookmarkStart w:id="27" w:name="_Toc164229214"/>
      <w:r/>
      <w:bookmarkStart w:id="28" w:name="_Toc150774619"/>
      <w:r/>
      <w:bookmarkStart w:id="29" w:name="_Toc127151519"/>
      <w:r/>
      <w:bookmarkStart w:id="30" w:name="_Toc164608788"/>
      <w:r/>
      <w:bookmarkStart w:id="31" w:name="_Toc151193617"/>
      <w:r/>
      <w:bookmarkStart w:id="32" w:name="_Toc149720812"/>
      <w:r/>
      <w:bookmarkStart w:id="33" w:name="_Toc164608633"/>
      <w:r/>
      <w:bookmarkStart w:id="34" w:name="_Toc151190146"/>
      <w:r/>
      <w:bookmarkStart w:id="35" w:name="_Toc151193689"/>
      <w:r/>
      <w:bookmarkStart w:id="36" w:name="_Toc195842884"/>
      <w:r/>
      <w:bookmarkStart w:id="37" w:name="_Toc127151720"/>
      <w:r/>
      <w:bookmarkStart w:id="38" w:name="_Toc127161433"/>
      <w:r/>
      <w:bookmarkStart w:id="39" w:name="_Toc142311021"/>
      <w:r/>
      <w:bookmarkStart w:id="40" w:name="_Toc151193907"/>
      <w:r/>
      <w:bookmarkStart w:id="41" w:name="_Toc226965709"/>
      <w:r/>
      <w:bookmarkStart w:id="42" w:name="_Toc150509270"/>
      <w:r/>
      <w:bookmarkStart w:id="43" w:name="_Toc150480757"/>
      <w:r/>
      <w:bookmarkStart w:id="44" w:name="_Toc226965792"/>
      <w:r/>
      <w:bookmarkStart w:id="45" w:name="_Toc151193761"/>
      <w:r/>
      <w:bookmarkStart w:id="46" w:name="_Toc150774724"/>
      <w:r/>
      <w:bookmarkStart w:id="47" w:name="_Toc226309763"/>
      <w:r/>
      <w:bookmarkStart w:id="48" w:name="_Toc151193833"/>
      <w:r/>
      <w:bookmarkStart w:id="49" w:name="_Toc164351613"/>
      <w:r/>
      <w:bookmarkStart w:id="50" w:name="_Toc226337215"/>
      <w:r/>
      <w:bookmarkStart w:id="51" w:name="_Toc520356144"/>
      <w:r>
        <w:rPr>
          <w:rFonts w:ascii="Times New Roman" w:hAnsi="Times New Roman" w:eastAsia="宋体"/>
          <w:sz w:val="28"/>
        </w:rPr>
        <w:t xml:space="preserve">投标人须知资料表</w:t>
      </w:r>
      <w:r/>
    </w:p>
    <w:p>
      <w:pPr>
        <w:ind w:firstLine="480"/>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1036"/>
        <w:tblW w:w="53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1070"/>
        <w:gridCol w:w="7870"/>
      </w:tblGrid>
      <w:tr>
        <w:trPr>
          <w:jc w:val="center"/>
          <w:trHeight w:val="594"/>
          <w:tblHeader/>
        </w:trPr>
        <w:tc>
          <w:tcPr>
            <w:tcW w:w="504"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538"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95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04" w:type="pct"/>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2.2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957"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货物</w:t>
            </w:r>
            <w:r/>
          </w:p>
        </w:tc>
      </w:tr>
      <w:tr>
        <w:trPr>
          <w:jc w:val="center"/>
          <w:trHeight w:val="90"/>
        </w:trPr>
        <w:tc>
          <w:tcPr>
            <w:tcW w:w="504" w:type="pct"/>
            <w:vAlign w:val="center"/>
            <w:textDirection w:val="lrTb"/>
            <w:noWrap w:val="false"/>
          </w:tcPr>
          <w:p>
            <w:pPr>
              <w:pStyle w:val="1050"/>
              <w:jc w:val="center"/>
              <w:rPr>
                <w:rFonts w:hint="default" w:ascii="Times New Roman" w:hAnsi="Times New Roman"/>
                <w:sz w:val="24"/>
                <w:szCs w:val="24"/>
              </w:rPr>
            </w:pPr>
            <w:r>
              <w:rPr>
                <w:rFonts w:hint="default" w:ascii="Times New Roman" w:hAnsi="Times New Roman"/>
                <w:sz w:val="24"/>
                <w:szCs w:val="24"/>
              </w:rPr>
              <w:t xml:space="preserve">2.3</w:t>
            </w:r>
            <w:r/>
          </w:p>
        </w:tc>
        <w:tc>
          <w:tcPr>
            <w:tcW w:w="538" w:type="pct"/>
            <w:vAlign w:val="center"/>
            <w:textDirection w:val="lrTb"/>
            <w:noWrap w:val="false"/>
          </w:tcPr>
          <w:p>
            <w:pPr>
              <w:jc w:val="center"/>
              <w:rPr>
                <w:sz w:val="24"/>
              </w:rPr>
            </w:pPr>
            <w:r>
              <w:rPr>
                <w:sz w:val="24"/>
              </w:rPr>
              <w:t xml:space="preserve">科研仪器设备</w:t>
            </w:r>
            <w:r/>
          </w:p>
        </w:tc>
        <w:tc>
          <w:tcPr>
            <w:tcW w:w="3957" w:type="pct"/>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rPr>
                <w:rFonts w:hint="eastAsia"/>
                <w:sz w:val="24"/>
              </w:rPr>
              <w:t xml:space="preserve">  ☑</w:t>
            </w:r>
            <w:r>
              <w:rPr>
                <w:sz w:val="24"/>
              </w:rPr>
              <w:t xml:space="preserve">否</w:t>
            </w:r>
            <w:r/>
          </w:p>
        </w:tc>
      </w:tr>
      <w:tr>
        <w:trPr>
          <w:jc w:val="center"/>
          <w:trHeight w:val="1076"/>
        </w:trPr>
        <w:tc>
          <w:tcPr>
            <w:tcW w:w="504" w:type="pct"/>
            <w:vAlign w:val="center"/>
            <w:textDirection w:val="lrTb"/>
            <w:noWrap w:val="false"/>
          </w:tcPr>
          <w:p>
            <w:pPr>
              <w:pStyle w:val="1050"/>
              <w:jc w:val="center"/>
              <w:rPr>
                <w:rFonts w:hint="default" w:ascii="Times New Roman" w:hAnsi="Times New Roman"/>
                <w:sz w:val="24"/>
                <w:szCs w:val="24"/>
              </w:rPr>
            </w:pPr>
            <w:r>
              <w:rPr>
                <w:rFonts w:hint="default" w:ascii="Times New Roman" w:hAnsi="Times New Roman"/>
                <w:sz w:val="24"/>
                <w:szCs w:val="24"/>
              </w:rPr>
              <w:t xml:space="preserve">2.4</w:t>
            </w:r>
            <w:r/>
          </w:p>
        </w:tc>
        <w:tc>
          <w:tcPr>
            <w:tcW w:w="538" w:type="pct"/>
            <w:vAlign w:val="center"/>
            <w:textDirection w:val="lrTb"/>
            <w:noWrap w:val="false"/>
          </w:tcPr>
          <w:p>
            <w:pPr>
              <w:jc w:val="center"/>
              <w:rPr>
                <w:sz w:val="24"/>
                <w:highlight w:val="none"/>
              </w:rPr>
            </w:pPr>
            <w:r>
              <w:rPr>
                <w:sz w:val="24"/>
                <w:highlight w:val="none"/>
              </w:rPr>
              <w:t xml:space="preserve">核心产品</w:t>
            </w:r>
            <w:r/>
          </w:p>
        </w:tc>
        <w:tc>
          <w:tcPr>
            <w:tcW w:w="3957" w:type="pct"/>
            <w:vAlign w:val="center"/>
            <w:textDirection w:val="lrTb"/>
            <w:noWrap w:val="false"/>
          </w:tcPr>
          <w:p>
            <w:pPr>
              <w:pStyle w:val="1050"/>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关于核心产品本项目__包不适用。</w:t>
            </w:r>
            <w:r/>
          </w:p>
          <w:p>
            <w:pPr>
              <w:pStyle w:val="1050"/>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w:t>
            </w:r>
            <w:r>
              <w:rPr>
                <w:rFonts w:hint="default" w:ascii="Times New Roman" w:hAnsi="Times New Roman" w:eastAsia="宋体" w:cs="Times New Roman"/>
                <w:sz w:val="24"/>
                <w:szCs w:val="24"/>
                <w:highlight w:val="none"/>
                <w:lang w:val="en-US" w:eastAsia="zh-CN" w:bidi="ar-SA"/>
              </w:rPr>
              <w:t xml:space="preserve">本项目为单一产品采购项目。</w:t>
            </w:r>
            <w:r/>
          </w:p>
          <w:p>
            <w:pPr>
              <w:pStyle w:val="1041"/>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☑本项目为非单一产品采购项目，核心产品为：</w:t>
            </w:r>
            <w:r>
              <w:rPr>
                <w:rFonts w:hint="eastAsia" w:ascii="Times New Roman" w:hAnsi="Times New Roman" w:eastAsia="宋体" w:cs="Times New Roman"/>
                <w:b/>
                <w:bCs/>
                <w:sz w:val="24"/>
                <w:szCs w:val="24"/>
                <w:highlight w:val="none"/>
                <w:lang w:val="en-US" w:eastAsia="zh-CN" w:bidi="ar-SA"/>
              </w:rPr>
              <w:t xml:space="preserve">飞灰螯合剂（哌嗪-DTC-钾盐）</w:t>
            </w:r>
            <w:r>
              <w:rPr>
                <w:rFonts w:hint="eastAsia" w:ascii="宋体" w:hAnsi="宋体" w:eastAsia="宋体" w:cs="宋体"/>
                <w:color w:val="000000"/>
                <w:szCs w:val="21"/>
                <w:highlight w:val="none"/>
                <w:u w:val="single"/>
                <w:lang w:eastAsia="zh-CN"/>
              </w:rPr>
              <w:t xml:space="preserve">。</w:t>
            </w:r>
            <w:r/>
          </w:p>
        </w:tc>
      </w:tr>
      <w:tr>
        <w:trPr>
          <w:jc w:val="center"/>
          <w:trHeight w:val="20"/>
        </w:trPr>
        <w:tc>
          <w:tcPr>
            <w:tcW w:w="504" w:type="pct"/>
            <w:vAlign w:val="center"/>
            <w:vMerge w:val="restart"/>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3.1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957"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1050"/>
              <w:spacing w:line="360" w:lineRule="exact"/>
              <w:rPr>
                <w:rFonts w:hint="default" w:hAnsi="宋体" w:cs="宋体"/>
                <w:sz w:val="24"/>
                <w:szCs w:val="24"/>
              </w:rPr>
            </w:pPr>
            <w:r>
              <w:rPr>
                <w:rFonts w:hAnsi="宋体" w:cs="宋体"/>
                <w:sz w:val="24"/>
              </w:rPr>
              <w:t xml:space="preserve">考察地点：____________。</w:t>
            </w:r>
            <w:r/>
          </w:p>
        </w:tc>
      </w:tr>
      <w:tr>
        <w:trPr>
          <w:jc w:val="center"/>
          <w:trHeight w:val="20"/>
        </w:trPr>
        <w:tc>
          <w:tcPr>
            <w:tcW w:w="504" w:type="pct"/>
            <w:vAlign w:val="center"/>
            <w:vMerge w:val="continue"/>
            <w:textDirection w:val="lrTb"/>
            <w:noWrap w:val="false"/>
          </w:tcPr>
          <w:p>
            <w:pPr>
              <w:pStyle w:val="1050"/>
              <w:jc w:val="center"/>
              <w:spacing w:line="360" w:lineRule="exact"/>
              <w:rPr>
                <w:rFonts w:hint="default" w:hAnsi="宋体" w:cs="宋体"/>
                <w:sz w:val="24"/>
                <w:szCs w:val="24"/>
              </w:rPr>
            </w:pPr>
            <w:r>
              <w:rPr>
                <w:rFonts w:hint="default" w:hAnsi="宋体" w:cs="宋体"/>
                <w:sz w:val="24"/>
                <w:szCs w:val="24"/>
              </w:rPr>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957"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tc>
      </w:tr>
      <w:tr>
        <w:trPr>
          <w:jc w:val="center"/>
          <w:trHeight w:val="20"/>
        </w:trPr>
        <w:tc>
          <w:tcPr>
            <w:shd w:val="clear" w:color="auto" w:fill="auto"/>
            <w:tcW w:w="504" w:type="pct"/>
            <w:vAlign w:val="center"/>
            <w:textDirection w:val="lrTb"/>
            <w:noWrap w:val="false"/>
          </w:tcPr>
          <w:p>
            <w:pPr>
              <w:pStyle w:val="1295"/>
              <w:jc w:val="center"/>
              <w:spacing w:line="340" w:lineRule="exact"/>
              <w:rPr>
                <w:rFonts w:hint="default" w:ascii="宋体" w:hAnsi="宋体" w:eastAsia="宋体" w:cs="宋体"/>
                <w:color w:val="000000"/>
                <w:sz w:val="21"/>
                <w:szCs w:val="21"/>
                <w:highlight w:val="none"/>
                <w:lang w:val="en-US" w:eastAsia="zh-CN" w:bidi="ar-SA"/>
              </w:rPr>
            </w:pPr>
            <w:r>
              <w:rPr>
                <w:rFonts w:hint="eastAsia" w:hAnsi="宋体" w:cs="宋体"/>
                <w:color w:val="000000"/>
                <w:szCs w:val="21"/>
                <w:highlight w:val="none"/>
                <w:lang w:val="en-US" w:eastAsia="zh-CN"/>
              </w:rPr>
              <w:t xml:space="preserve">4.1</w:t>
            </w:r>
            <w:r/>
          </w:p>
        </w:tc>
        <w:tc>
          <w:tcPr>
            <w:shd w:val="clear" w:color="auto" w:fill="auto"/>
            <w:tcW w:w="538" w:type="pct"/>
            <w:vAlign w:val="center"/>
            <w:textDirection w:val="lrTb"/>
            <w:noWrap w:val="false"/>
          </w:tcPr>
          <w:p>
            <w:pPr>
              <w:jc w:val="center"/>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样品</w:t>
            </w:r>
            <w:r/>
          </w:p>
        </w:tc>
        <w:tc>
          <w:tcPr>
            <w:shd w:val="clear" w:color="auto" w:fill="auto"/>
            <w:tcW w:w="3957" w:type="pct"/>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投标样品递交：</w:t>
            </w:r>
            <w:r/>
          </w:p>
          <w:p>
            <w:pPr>
              <w:jc w:val="left"/>
              <w:keepLines w:val="0"/>
              <w:keepNext w:val="0"/>
              <w:pageBreakBefore w:val="0"/>
              <w:spacing w:line="340" w:lineRule="exact"/>
              <w:widowControl/>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不需要</w:t>
            </w:r>
            <w:r/>
          </w:p>
          <w:p>
            <w:pPr>
              <w:jc w:val="left"/>
              <w:keepLines w:val="0"/>
              <w:keepNext w:val="0"/>
              <w:pageBreakBefore w:val="0"/>
              <w:spacing w:line="3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■需要，具体要求如下：</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药剂</w:t>
            </w:r>
            <w:r>
              <w:rPr>
                <w:rFonts w:hint="eastAsia" w:ascii="宋体" w:hAnsi="宋体" w:eastAsia="宋体" w:cs="宋体"/>
                <w:color w:val="000000"/>
                <w:sz w:val="21"/>
                <w:szCs w:val="21"/>
                <w:highlight w:val="none"/>
              </w:rPr>
              <w:t xml:space="preserve">样品要求：</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A.</w:t>
            </w:r>
            <w:r>
              <w:rPr>
                <w:rFonts w:hint="eastAsia" w:ascii="宋体" w:hAnsi="宋体" w:eastAsia="宋体" w:cs="宋体"/>
                <w:color w:val="000000"/>
                <w:sz w:val="21"/>
                <w:szCs w:val="21"/>
                <w:highlight w:val="none"/>
              </w:rPr>
              <w:t xml:space="preserve">哌嗪-DTC钾盐小样（不少于500mL）,名称：1,4-哌嗪基二硫代氨基甲酸钾溶液，外观：淡绿色~淡橙黄色澄清液体，比重：≥1.18，有效含量不低于35%，游离碱：≤0.5%，PH值：10.5-13.5。</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B.</w:t>
            </w:r>
            <w:r>
              <w:rPr>
                <w:rFonts w:hint="eastAsia" w:ascii="宋体" w:hAnsi="宋体" w:eastAsia="宋体" w:cs="宋体"/>
                <w:color w:val="000000"/>
                <w:sz w:val="21"/>
                <w:szCs w:val="21"/>
                <w:highlight w:val="none"/>
              </w:rPr>
              <w:t xml:space="preserve">福美钠小样（不少于500mL），名称：二甲基二硫代氨基甲酸钠，外观：淡绿色~淡橙黄色澄清液体，比重：≥1.18，有效含量不低于40%，游离碱：≤0.5%，PH值：10.5-13.5。须为精制除味型水剂，不可使用母液。</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（2）是否需要随样品提交相关检测报告：</w:t>
            </w:r>
            <w:r/>
          </w:p>
          <w:p>
            <w:pPr>
              <w:ind w:firstLine="420"/>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■不需要</w:t>
            </w:r>
            <w:r/>
          </w:p>
          <w:p>
            <w:pPr>
              <w:ind w:firstLine="420"/>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需要</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（3）样品递交要求：</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eastAsia="zh-CN"/>
              </w:rPr>
              <w:t xml:space="preserve">药剂</w:t>
            </w:r>
            <w:r>
              <w:rPr>
                <w:rFonts w:hint="eastAsia" w:ascii="宋体" w:hAnsi="宋体" w:eastAsia="宋体" w:cs="宋体"/>
                <w:color w:val="000000"/>
                <w:sz w:val="21"/>
                <w:szCs w:val="21"/>
                <w:highlight w:val="none"/>
              </w:rPr>
              <w:t xml:space="preserve">送样</w:t>
            </w:r>
            <w:r>
              <w:rPr>
                <w:rFonts w:hint="eastAsia" w:ascii="宋体" w:hAnsi="宋体" w:eastAsia="宋体" w:cs="宋体"/>
                <w:color w:val="000000"/>
                <w:sz w:val="21"/>
                <w:szCs w:val="21"/>
                <w:highlight w:val="none"/>
                <w:lang w:val="en-US" w:eastAsia="zh-CN"/>
              </w:rPr>
              <w:t xml:space="preserve">截止时间</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u w:val="none"/>
                <w:lang w:val="zh-TW" w:eastAsia="zh-CN"/>
              </w:rPr>
              <w:t xml:space="preserve">202</w:t>
            </w:r>
            <w:r>
              <w:rPr>
                <w:rFonts w:hint="eastAsia" w:ascii="宋体" w:hAnsi="宋体" w:cs="宋体"/>
                <w:b/>
                <w:bCs/>
                <w:color w:val="000000"/>
                <w:sz w:val="21"/>
                <w:szCs w:val="21"/>
                <w:highlight w:val="none"/>
                <w:u w:val="none"/>
                <w:lang w:val="en-US" w:eastAsia="zh-CN"/>
              </w:rPr>
              <w:t xml:space="preserve">5</w:t>
            </w:r>
            <w:r>
              <w:rPr>
                <w:rFonts w:hint="eastAsia" w:ascii="宋体" w:hAnsi="宋体" w:eastAsia="宋体" w:cs="宋体"/>
                <w:b/>
                <w:bCs/>
                <w:color w:val="000000"/>
                <w:sz w:val="21"/>
                <w:szCs w:val="21"/>
                <w:highlight w:val="none"/>
                <w:u w:val="none"/>
                <w:lang w:val="zh-TW" w:eastAsia="zh-CN"/>
              </w:rPr>
              <w:t xml:space="preserve">年</w:t>
            </w:r>
            <w:r>
              <w:rPr>
                <w:rFonts w:hint="eastAsia" w:ascii="宋体" w:hAnsi="宋体" w:eastAsia="宋体" w:cs="宋体"/>
                <w:b/>
                <w:bCs/>
                <w:color w:val="000000"/>
                <w:sz w:val="21"/>
                <w:szCs w:val="21"/>
                <w:highlight w:val="none"/>
                <w:u w:val="none"/>
                <w:lang w:val="en-US" w:eastAsia="zh-CN"/>
              </w:rPr>
              <w:t xml:space="preserve">12</w:t>
            </w:r>
            <w:r>
              <w:rPr>
                <w:rFonts w:hint="eastAsia" w:ascii="宋体" w:hAnsi="宋体" w:eastAsia="宋体" w:cs="宋体"/>
                <w:b/>
                <w:bCs/>
                <w:color w:val="000000"/>
                <w:sz w:val="21"/>
                <w:szCs w:val="21"/>
                <w:highlight w:val="none"/>
                <w:u w:val="none"/>
                <w:lang w:val="zh-TW" w:eastAsia="zh-CN"/>
              </w:rPr>
              <w:t xml:space="preserve">月</w:t>
            </w:r>
            <w:r>
              <w:rPr>
                <w:rFonts w:hint="eastAsia" w:ascii="宋体" w:hAnsi="宋体" w:cs="宋体"/>
                <w:b/>
                <w:bCs/>
                <w:color w:val="000000"/>
                <w:sz w:val="21"/>
                <w:szCs w:val="21"/>
                <w:highlight w:val="none"/>
                <w:u w:val="none"/>
                <w:lang w:val="en-US" w:eastAsia="zh-CN"/>
              </w:rPr>
              <w:t xml:space="preserve">29</w:t>
            </w:r>
            <w:r>
              <w:rPr>
                <w:rFonts w:hint="eastAsia" w:ascii="宋体" w:hAnsi="宋体" w:eastAsia="宋体" w:cs="宋体"/>
                <w:b/>
                <w:bCs/>
                <w:color w:val="auto"/>
                <w:sz w:val="21"/>
                <w:szCs w:val="21"/>
                <w:highlight w:val="none"/>
                <w:u w:val="none"/>
                <w:lang w:val="zh-TW" w:eastAsia="zh-CN"/>
              </w:rPr>
              <w:t xml:space="preserve">日</w:t>
            </w:r>
            <w:r>
              <w:rPr>
                <w:rFonts w:hint="eastAsia" w:ascii="宋体" w:hAnsi="宋体" w:eastAsia="宋体" w:cs="宋体"/>
                <w:b/>
                <w:bCs/>
                <w:color w:val="000000"/>
                <w:sz w:val="21"/>
                <w:szCs w:val="21"/>
                <w:highlight w:val="none"/>
                <w:u w:val="none"/>
                <w:lang w:val="en-US" w:eastAsia="zh-CN"/>
              </w:rPr>
              <w:t xml:space="preserve">17：00</w:t>
            </w:r>
            <w:r>
              <w:rPr>
                <w:rFonts w:hint="eastAsia" w:ascii="宋体" w:hAnsi="宋体" w:eastAsia="宋体" w:cs="宋体"/>
                <w:color w:val="000000"/>
                <w:sz w:val="21"/>
                <w:szCs w:val="21"/>
                <w:highlight w:val="none"/>
              </w:rPr>
              <w:t xml:space="preserve">（北京时间），逾期不再接收。</w:t>
            </w:r>
            <w:r>
              <w:rPr>
                <w:rFonts w:hint="eastAsia" w:ascii="宋体" w:hAnsi="宋体" w:eastAsia="宋体" w:cs="宋体"/>
                <w:color w:val="000000"/>
                <w:sz w:val="21"/>
                <w:szCs w:val="21"/>
                <w:highlight w:val="none"/>
                <w:lang w:val="en-US" w:eastAsia="zh-CN"/>
              </w:rPr>
              <w:t xml:space="preserve">现场送样时间</w:t>
            </w:r>
            <w:r>
              <w:rPr>
                <w:rFonts w:hint="eastAsia" w:ascii="宋体" w:hAnsi="宋体" w:eastAsia="宋体" w:cs="宋体"/>
                <w:color w:val="000000"/>
                <w:sz w:val="21"/>
                <w:szCs w:val="21"/>
                <w:highlight w:val="none"/>
              </w:rPr>
              <w:t xml:space="preserve">每天上午9：00至1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00（北京时间，法定节假日除外 ）</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药剂</w:t>
            </w:r>
            <w:r>
              <w:rPr>
                <w:rFonts w:hint="eastAsia" w:ascii="宋体" w:hAnsi="宋体" w:eastAsia="宋体" w:cs="宋体"/>
                <w:color w:val="000000"/>
                <w:sz w:val="21"/>
                <w:szCs w:val="21"/>
                <w:highlight w:val="none"/>
              </w:rPr>
              <w:t xml:space="preserve">送样地点：常州市环境卫生管理中心-焚烧综合处置中心-武进区遥观镇观庄村211号</w:t>
            </w:r>
            <w:r/>
          </w:p>
          <w:p>
            <w:pPr>
              <w:jc w:val="left"/>
              <w:keepLines w:val="0"/>
              <w:keepNext w:val="0"/>
              <w:pageBreakBefore w:val="0"/>
              <w:spacing w:line="34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eastAsia="zh-CN"/>
              </w:rPr>
              <w:t xml:space="preserve">药剂</w:t>
            </w:r>
            <w:r>
              <w:rPr>
                <w:rFonts w:hint="eastAsia" w:ascii="宋体" w:hAnsi="宋体" w:eastAsia="宋体" w:cs="宋体"/>
                <w:color w:val="000000"/>
                <w:sz w:val="21"/>
                <w:szCs w:val="21"/>
                <w:highlight w:val="none"/>
              </w:rPr>
              <w:t xml:space="preserve">送样方式：现场送达（联系人：</w:t>
            </w:r>
            <w:r>
              <w:rPr>
                <w:rFonts w:hint="eastAsia" w:ascii="宋体" w:hAnsi="宋体" w:cs="宋体"/>
                <w:color w:val="000000"/>
                <w:sz w:val="21"/>
                <w:szCs w:val="21"/>
                <w:highlight w:val="none"/>
                <w:lang w:eastAsia="zh-CN"/>
              </w:rPr>
              <w:t xml:space="preserve">杨曙云</w:t>
            </w:r>
            <w:r>
              <w:rPr>
                <w:rFonts w:hint="eastAsia" w:ascii="宋体" w:hAnsi="宋体" w:eastAsia="宋体" w:cs="宋体"/>
                <w:color w:val="000000"/>
                <w:sz w:val="21"/>
                <w:szCs w:val="21"/>
                <w:highlight w:val="none"/>
                <w:u w:val="single"/>
                <w:lang w:val="en-US" w:eastAsia="zh-CN"/>
              </w:rPr>
              <w:t xml:space="preserve"> 0519-88771444-800</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lang w:val="en-US" w:eastAsia="zh-CN"/>
              </w:rPr>
              <w:t xml:space="preserve"> ）</w:t>
            </w:r>
            <w:r/>
          </w:p>
          <w:p>
            <w:pPr>
              <w:jc w:val="left"/>
              <w:keepLines w:val="0"/>
              <w:keepNext w:val="0"/>
              <w:pageBreakBefore w:val="0"/>
              <w:spacing w:line="3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将</w:t>
            </w:r>
            <w:r>
              <w:rPr>
                <w:rFonts w:hint="eastAsia" w:ascii="宋体" w:hAnsi="宋体" w:eastAsia="宋体" w:cs="宋体"/>
                <w:color w:val="000000"/>
                <w:sz w:val="21"/>
                <w:szCs w:val="21"/>
                <w:highlight w:val="none"/>
              </w:rPr>
              <w:t xml:space="preserve">药剂</w:t>
            </w:r>
            <w:r>
              <w:rPr>
                <w:rFonts w:hint="eastAsia" w:ascii="宋体" w:hAnsi="宋体" w:eastAsia="宋体" w:cs="宋体"/>
                <w:color w:val="000000"/>
                <w:sz w:val="21"/>
                <w:szCs w:val="21"/>
                <w:highlight w:val="none"/>
                <w:lang w:val="en-US" w:eastAsia="zh-CN"/>
              </w:rPr>
              <w:t xml:space="preserve">与采购人现场的飞灰,按照3.5%的比例制作成试验样品，送有</w:t>
            </w:r>
            <w:r>
              <w:rPr>
                <w:rFonts w:hint="eastAsia" w:ascii="宋体" w:hAnsi="宋体" w:eastAsia="宋体" w:cs="宋体"/>
                <w:b w:val="0"/>
                <w:bCs w:val="0"/>
                <w:color w:val="000000"/>
                <w:sz w:val="21"/>
                <w:szCs w:val="21"/>
                <w:highlight w:val="none"/>
                <w:u w:val="none"/>
                <w:lang w:val="en-US" w:eastAsia="zh-CN" w:bidi="ar"/>
              </w:rPr>
              <w:t xml:space="preserve">CMA认证的检测机构</w:t>
            </w:r>
            <w:r>
              <w:rPr>
                <w:rFonts w:hint="eastAsia" w:ascii="宋体" w:hAnsi="宋体" w:eastAsia="宋体" w:cs="宋体"/>
                <w:color w:val="000000"/>
                <w:sz w:val="21"/>
                <w:szCs w:val="21"/>
                <w:highlight w:val="none"/>
                <w:lang w:val="en-US" w:eastAsia="zh-CN"/>
              </w:rPr>
              <w:t xml:space="preserve">检测。</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检测标准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按</w:t>
            </w:r>
            <w:r>
              <w:rPr>
                <w:rFonts w:hint="eastAsia" w:ascii="宋体" w:hAnsi="宋体" w:eastAsia="宋体" w:cs="宋体"/>
                <w:color w:val="000000"/>
                <w:sz w:val="21"/>
                <w:szCs w:val="21"/>
                <w:highlight w:val="none"/>
              </w:rPr>
              <w:t xml:space="preserve">《生活垃圾填埋污染控制标准》</w:t>
            </w:r>
            <w:r>
              <w:rPr>
                <w:rFonts w:hint="eastAsia" w:ascii="宋体" w:hAnsi="宋体" w:eastAsia="宋体" w:cs="宋体"/>
                <w:color w:val="000000"/>
                <w:sz w:val="21"/>
                <w:szCs w:val="21"/>
                <w:highlight w:val="none"/>
                <w:lang w:eastAsia="zh-CN"/>
              </w:rPr>
              <w:t xml:space="preserve">（GB16889-2024）第6页</w:t>
            </w:r>
            <w:r>
              <w:rPr>
                <w:rFonts w:hint="eastAsia" w:ascii="宋体" w:hAnsi="宋体" w:eastAsia="宋体" w:cs="宋体"/>
                <w:color w:val="000000"/>
                <w:sz w:val="21"/>
                <w:szCs w:val="21"/>
                <w:highlight w:val="none"/>
                <w:lang w:val="en-US" w:eastAsia="zh-CN"/>
              </w:rPr>
              <w:t xml:space="preserve">6.3表1</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）未中标人</w:t>
            </w:r>
            <w:r>
              <w:rPr>
                <w:rFonts w:hint="eastAsia" w:ascii="宋体" w:hAnsi="宋体" w:eastAsia="宋体" w:cs="宋体"/>
                <w:color w:val="000000"/>
                <w:sz w:val="21"/>
                <w:szCs w:val="21"/>
                <w:highlight w:val="none"/>
                <w:lang w:val="en-US" w:eastAsia="zh-CN"/>
              </w:rPr>
              <w:t xml:space="preserve">试验样品</w:t>
            </w:r>
            <w:r>
              <w:rPr>
                <w:rFonts w:hint="eastAsia" w:ascii="宋体" w:hAnsi="宋体" w:eastAsia="宋体" w:cs="宋体"/>
                <w:color w:val="000000"/>
                <w:sz w:val="21"/>
                <w:szCs w:val="21"/>
                <w:highlight w:val="none"/>
              </w:rPr>
              <w:t xml:space="preserve">退还：</w:t>
            </w:r>
            <w:r>
              <w:rPr>
                <w:rFonts w:hint="eastAsia" w:ascii="宋体" w:hAnsi="宋体" w:eastAsia="宋体" w:cs="宋体"/>
                <w:color w:val="000000"/>
                <w:sz w:val="21"/>
                <w:szCs w:val="21"/>
                <w:highlight w:val="none"/>
                <w:u w:val="single"/>
              </w:rPr>
              <w:t xml:space="preserve"> 退还 </w:t>
            </w:r>
            <w:r/>
          </w:p>
          <w:p>
            <w:pPr>
              <w:jc w:val="left"/>
              <w:keepLines w:val="0"/>
              <w:keepNext w:val="0"/>
              <w:pageBreakBefore w:val="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）中标人</w:t>
            </w:r>
            <w:r>
              <w:rPr>
                <w:rFonts w:hint="eastAsia" w:ascii="宋体" w:hAnsi="宋体" w:eastAsia="宋体" w:cs="宋体"/>
                <w:color w:val="000000"/>
                <w:sz w:val="21"/>
                <w:szCs w:val="21"/>
                <w:highlight w:val="none"/>
                <w:lang w:val="en-US" w:eastAsia="zh-CN"/>
              </w:rPr>
              <w:t xml:space="preserve">试验样品</w:t>
            </w:r>
            <w:r>
              <w:rPr>
                <w:rFonts w:hint="eastAsia" w:ascii="宋体" w:hAnsi="宋体" w:eastAsia="宋体" w:cs="宋体"/>
                <w:color w:val="000000"/>
                <w:sz w:val="21"/>
                <w:szCs w:val="21"/>
                <w:highlight w:val="none"/>
              </w:rPr>
              <w:t xml:space="preserve">保管、封存及退还：</w:t>
            </w:r>
            <w:r>
              <w:rPr>
                <w:rFonts w:hint="eastAsia" w:ascii="宋体" w:hAnsi="宋体" w:eastAsia="宋体" w:cs="宋体"/>
                <w:color w:val="000000"/>
                <w:sz w:val="21"/>
                <w:szCs w:val="21"/>
                <w:highlight w:val="none"/>
                <w:u w:val="single"/>
              </w:rPr>
              <w:t xml:space="preserve"> 不退还 </w:t>
            </w:r>
            <w:r/>
          </w:p>
          <w:p>
            <w:pPr>
              <w:jc w:val="left"/>
              <w:keepLines w:val="0"/>
              <w:keepNext w:val="0"/>
              <w:pageBreakBefore w:val="0"/>
              <w:spacing w:line="3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）其他要求：</w:t>
            </w:r>
            <w:r>
              <w:rPr>
                <w:rFonts w:hint="eastAsia" w:ascii="宋体" w:hAnsi="宋体" w:eastAsia="宋体" w:cs="宋体"/>
                <w:b w:val="0"/>
                <w:bCs w:val="0"/>
                <w:color w:val="000000"/>
                <w:sz w:val="21"/>
                <w:szCs w:val="21"/>
                <w:highlight w:val="none"/>
                <w:u w:val="none"/>
                <w:lang w:val="en-US" w:eastAsia="zh-CN" w:bidi="ar"/>
              </w:rPr>
              <w:t xml:space="preserve">响应文件中提供有CMA认证的检测机构提供的相关检测报告原件扫描件，未提供或检测报告数据不达标准要求的</w:t>
            </w:r>
            <w:r>
              <w:rPr>
                <w:rFonts w:hint="eastAsia" w:ascii="宋体" w:hAnsi="宋体" w:eastAsia="宋体" w:cs="宋体"/>
                <w:b w:val="0"/>
                <w:bCs w:val="0"/>
                <w:color w:val="000000"/>
                <w:sz w:val="21"/>
                <w:szCs w:val="21"/>
                <w:highlight w:val="none"/>
                <w:u w:val="none"/>
                <w:lang w:val="en-US" w:eastAsia="zh-CN"/>
              </w:rPr>
              <w:t xml:space="preserve">按无效文件处理</w:t>
            </w:r>
            <w:r>
              <w:rPr>
                <w:rFonts w:hint="eastAsia" w:ascii="宋体" w:hAnsi="宋体" w:eastAsia="宋体" w:cs="宋体"/>
                <w:b w:val="0"/>
                <w:bCs w:val="0"/>
                <w:color w:val="000000"/>
                <w:sz w:val="21"/>
                <w:szCs w:val="21"/>
                <w:highlight w:val="none"/>
                <w:u w:val="none"/>
              </w:rPr>
              <w:t xml:space="preserve">。</w:t>
            </w:r>
            <w:r/>
          </w:p>
        </w:tc>
      </w:tr>
      <w:tr>
        <w:trPr>
          <w:jc w:val="center"/>
          <w:trHeight w:val="1340"/>
        </w:trPr>
        <w:tc>
          <w:tcPr>
            <w:tcW w:w="504" w:type="pct"/>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5.2.5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957" w:type="pct"/>
            <w:vAlign w:val="center"/>
            <w:textDirection w:val="lrTb"/>
            <w:noWrap w:val="false"/>
          </w:tcPr>
          <w:p>
            <w:pPr>
              <w:pStyle w:val="1081"/>
              <w:rPr>
                <w:rFonts w:hint="eastAsia" w:ascii="宋体" w:hAnsi="宋体" w:cs="宋体"/>
                <w:b/>
                <w:bCs/>
                <w:sz w:val="24"/>
                <w:u w:val="single"/>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工业</w:t>
            </w:r>
            <w:r/>
          </w:p>
          <w:p>
            <w:pPr>
              <w:pStyle w:val="1081"/>
              <w:rPr>
                <w:rFonts w:hint="eastAsia" w:ascii="宋体" w:hAnsi="宋体" w:cs="宋体"/>
                <w:b/>
                <w:bCs/>
                <w:sz w:val="24"/>
                <w:u w:val="single"/>
              </w:rPr>
            </w:pPr>
            <w:r>
              <mc:AlternateContent>
                <mc:Choice Requires="wpg">
                  <w:drawing>
                    <wp:inline xmlns:wp="http://schemas.openxmlformats.org/drawingml/2006/wordprocessingDrawing" distT="0" distB="0" distL="0" distR="0">
                      <wp:extent cx="4841240" cy="581025"/>
                      <wp:effectExtent l="0" t="0" r="1651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3"/>
                              <a:stretch/>
                            </pic:blipFill>
                            <pic:spPr bwMode="auto">
                              <a:xfrm>
                                <a:off x="0" y="0"/>
                                <a:ext cx="4841240"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1.2pt;height:45.8pt;mso-wrap-distance-left:0.0pt;mso-wrap-distance-top:0.0pt;mso-wrap-distance-right:0.0pt;mso-wrap-distance-bottom:0.0pt;" stroked="f">
                      <v:path textboxrect="0,0,0,0"/>
                      <v:imagedata r:id="rId23" o:title=""/>
                    </v:shape>
                  </w:pict>
                </mc:Fallback>
              </mc:AlternateContent>
            </w:r>
            <w:r/>
          </w:p>
        </w:tc>
      </w:tr>
      <w:tr>
        <w:trPr>
          <w:jc w:val="center"/>
          <w:trHeight w:val="524"/>
        </w:trPr>
        <w:tc>
          <w:tcPr>
            <w:tcW w:w="504" w:type="pct"/>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11.2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957"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rPr>
              <w:t xml:space="preserve">有，具体情形：</w:t>
            </w:r>
            <w:r/>
          </w:p>
        </w:tc>
      </w:tr>
      <w:tr>
        <w:trPr>
          <w:jc w:val="center"/>
          <w:trHeight w:val="524"/>
        </w:trPr>
        <w:tc>
          <w:tcPr>
            <w:tcW w:w="504" w:type="pct"/>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12</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957"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04" w:type="pct"/>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13.1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957"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524"/>
        </w:trPr>
        <w:tc>
          <w:tcPr>
            <w:tcW w:w="504" w:type="pct"/>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25.5</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957" w:type="pct"/>
            <w:vAlign w:val="center"/>
            <w:textDirection w:val="lrTb"/>
            <w:noWrap w:val="false"/>
          </w:tcPr>
          <w:p>
            <w:pPr>
              <w:jc w:val="left"/>
              <w:spacing w:line="360" w:lineRule="exact"/>
              <w:rPr>
                <w:rFonts w:ascii="宋体" w:hAnsi="宋体" w:cs="宋体"/>
                <w:sz w:val="24"/>
                <w:u w:val="single"/>
              </w:rPr>
            </w:pPr>
            <w:r>
              <w:rPr>
                <w:rFonts w:hint="eastAsia" w:ascii="宋体" w:hAnsi="宋体" w:cs="宋体"/>
                <w:sz w:val="24"/>
              </w:rPr>
              <w:t xml:space="preserve">本项目的非主体、非关键性工作是否允许分包： 不允许</w:t>
            </w:r>
            <w:r/>
          </w:p>
        </w:tc>
      </w:tr>
      <w:tr>
        <w:trPr>
          <w:jc w:val="center"/>
          <w:trHeight w:val="524"/>
        </w:trPr>
        <w:tc>
          <w:tcPr>
            <w:tcW w:w="504" w:type="pct"/>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26.1.1</w:t>
            </w:r>
            <w:r/>
          </w:p>
        </w:tc>
        <w:tc>
          <w:tcPr>
            <w:tcW w:w="538"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询问</w:t>
            </w:r>
            <w:r/>
          </w:p>
        </w:tc>
        <w:tc>
          <w:tcPr>
            <w:tcW w:w="3957"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rPr>
          <w:rFonts w:ascii="宋体" w:hAnsi="宋体" w:cs="宋体"/>
        </w:rPr>
      </w:pPr>
      <w:r>
        <w:rPr>
          <w:rFonts w:hint="eastAsia" w:ascii="宋体" w:hAnsi="宋体" w:cs="宋体"/>
        </w:rPr>
        <w:br w:type="page" w:clear="all"/>
      </w:r>
      <w:r/>
    </w:p>
    <w:tbl>
      <w:tblPr>
        <w:tblStyle w:val="103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接收询问和质疑的联系方式</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cs="宋体"/>
                <w:sz w:val="24"/>
                <w:lang w:eastAsia="zh-CN"/>
              </w:rPr>
              <w:t xml:space="preserve">常州市环境卫生管理中心</w:t>
            </w:r>
            <w:r>
              <w:rPr>
                <w:rFonts w:hint="eastAsia" w:ascii="宋体" w:hAnsi="宋体" w:eastAsia="宋体" w:cs="宋体"/>
                <w:sz w:val="24"/>
              </w:rPr>
              <w:t xml:space="preserve"> </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cs="宋体"/>
                <w:sz w:val="24"/>
                <w:lang w:eastAsia="zh-CN"/>
              </w:rPr>
              <w:t xml:space="preserve">常州市武进区遥观镇观庄村211号</w:t>
            </w:r>
            <w:r/>
          </w:p>
          <w:p>
            <w:pPr>
              <w:jc w:val="left"/>
              <w:spacing w:line="360" w:lineRule="exact"/>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cs="宋体"/>
                <w:color w:val="000000"/>
                <w:sz w:val="21"/>
                <w:szCs w:val="21"/>
                <w:highlight w:val="none"/>
                <w:lang w:eastAsia="zh-CN"/>
              </w:rPr>
              <w:t xml:space="preserve">杨曙云</w:t>
            </w:r>
            <w:r>
              <w:rPr>
                <w:rFonts w:hint="eastAsia" w:ascii="宋体" w:hAnsi="宋体" w:eastAsia="宋体" w:cs="宋体"/>
                <w:sz w:val="24"/>
              </w:rPr>
              <w:t xml:space="preserve">  </w:t>
            </w:r>
            <w:r/>
          </w:p>
          <w:p>
            <w:pPr>
              <w:jc w:val="left"/>
              <w:spacing w:line="360" w:lineRule="exact"/>
              <w:rPr>
                <w:rFonts w:hint="default" w:ascii="宋体" w:hAnsi="宋体" w:eastAsia="宋体" w:cs="宋体"/>
                <w:sz w:val="24"/>
                <w:lang w:val="en-US" w:eastAsia="zh-CN"/>
              </w:rPr>
            </w:pPr>
            <w:r>
              <w:rPr>
                <w:rFonts w:hint="eastAsia" w:ascii="宋体" w:hAnsi="宋体" w:eastAsia="宋体" w:cs="宋体"/>
                <w:sz w:val="24"/>
              </w:rPr>
              <w:t xml:space="preserve">电  话：</w:t>
            </w:r>
            <w:r>
              <w:rPr>
                <w:rFonts w:hint="eastAsia" w:cs="宋体"/>
                <w:bCs/>
                <w:spacing w:val="2"/>
                <w:highlight w:val="none"/>
                <w:lang w:val="en-US" w:eastAsia="zh-CN"/>
              </w:rPr>
              <w:t xml:space="preserve">0519-88771444-8002</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50"/>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收费标准：</w:t>
            </w:r>
            <w:r/>
          </w:p>
          <w:tbl>
            <w:tblPr>
              <w:tblStyle w:val="1036"/>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textDirection w:val="lrTb"/>
                  <w:noWrap w:val="false"/>
                </w:tcPr>
                <w:p>
                  <w:pPr>
                    <w:ind w:firstLine="144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21435" cy="1414780"/>
                            <wp:effectExtent l="3175" t="3175" r="8890" b="10795"/>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27.0pt,-0.4pt" to="131.1pt,111.0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项目类型</w:t>
                  </w:r>
                  <w:r/>
                </w:p>
                <w:p>
                  <w:pPr>
                    <w:jc w:val="left"/>
                    <w:spacing w:line="360" w:lineRule="exact"/>
                    <w:rPr>
                      <w:rFonts w:ascii="宋体" w:hAnsi="宋体" w:cs="宋体"/>
                      <w:sz w:val="24"/>
                    </w:rPr>
                  </w:pPr>
                  <w:r>
                    <w:rPr>
                      <w:rFonts w:ascii="宋体" w:hAnsi="宋体" w:cs="宋体"/>
                      <w:sz w:val="24"/>
                    </w:rPr>
                  </w:r>
                  <w:r/>
                </w:p>
                <w:p>
                  <w:pPr>
                    <w:ind w:firstLine="72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658620" cy="864235"/>
                            <wp:effectExtent l="1905" t="4445" r="15875" b="7620"/>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8pt,4.5pt" to="125.8pt,72.5pt" filled="f" strokecolor="#000000" strokeweight="0.75pt"/>
                        </w:pict>
                      </mc:Fallback>
                    </mc:AlternateContent>
                  </w:r>
                  <w:r>
                    <w:rPr>
                      <w:rFonts w:hint="eastAsia" w:ascii="宋体" w:hAnsi="宋体" w:cs="宋体"/>
                      <w:sz w:val="24"/>
                    </w:rPr>
                    <w:t xml:space="preserve">费率</w:t>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rPr>
                    <w:t xml:space="preserve">预算金额（万元）</w:t>
                  </w:r>
                  <w:r/>
                </w:p>
              </w:tc>
              <w:tc>
                <w:tcPr>
                  <w:tcW w:w="1883" w:type="dxa"/>
                  <w:vAlign w:val="center"/>
                  <w:textDirection w:val="lrTb"/>
                  <w:noWrap w:val="false"/>
                </w:tcPr>
                <w:p>
                  <w:pPr>
                    <w:jc w:val="left"/>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货物类</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1.5%</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100-500</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w:t>
                  </w:r>
                  <w:r/>
                </w:p>
              </w:tc>
            </w:tr>
            <w:tr>
              <w:trPr/>
              <w:tc>
                <w:tcPr>
                  <w:tcW w:w="2744"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500—1000</w:t>
                  </w:r>
                  <w:r/>
                </w:p>
              </w:tc>
              <w:tc>
                <w:tcPr>
                  <w:tcW w:w="1883"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0.8%</w:t>
                  </w:r>
                  <w:r/>
                </w:p>
              </w:tc>
            </w:tr>
            <w:tr>
              <w:trPr/>
              <w:tc>
                <w:tcPr>
                  <w:tcW w:w="2744"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1000-5000</w:t>
                  </w:r>
                  <w:r/>
                </w:p>
              </w:tc>
              <w:tc>
                <w:tcPr>
                  <w:tcW w:w="1883"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0.5%</w:t>
                  </w:r>
                  <w:r/>
                </w:p>
              </w:tc>
            </w:tr>
            <w:tr>
              <w:trPr/>
              <w:tc>
                <w:tcPr>
                  <w:tcW w:w="2744"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c>
                <w:tcPr>
                  <w:tcW w:w="1883"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w:t>
                  </w:r>
                  <w:r/>
                </w:p>
              </w:tc>
            </w:tr>
          </w:tbl>
          <w:p>
            <w:pPr>
              <w:jc w:val="left"/>
              <w:spacing w:line="360" w:lineRule="exact"/>
              <w:rPr>
                <w:rFonts w:ascii="宋体" w:hAnsi="宋体" w:cs="宋体"/>
                <w:sz w:val="24"/>
              </w:rPr>
            </w:pPr>
            <w:r>
              <w:rPr>
                <w:rFonts w:hint="eastAsia" w:ascii="宋体" w:hAnsi="宋体" w:cs="宋体"/>
                <w:sz w:val="24"/>
              </w:rPr>
              <w:t xml:space="preserve">1、</w:t>
            </w:r>
            <w:r>
              <w:rPr>
                <w:rFonts w:hint="eastAsia" w:ascii="宋体" w:hAnsi="宋体" w:cs="宋体"/>
                <w:sz w:val="24"/>
                <w:highlight w:val="none"/>
              </w:rPr>
              <w:t xml:space="preserve">代理服务收费按差额定率累进法计算</w:t>
            </w:r>
            <w:r>
              <w:rPr>
                <w:rFonts w:hint="eastAsia" w:ascii="宋体" w:hAnsi="宋体" w:cs="宋体"/>
                <w:sz w:val="24"/>
                <w:highlight w:val="none"/>
                <w:lang w:val="en-US" w:eastAsia="zh-CN"/>
              </w:rPr>
              <w:t xml:space="preserve">*70%</w:t>
            </w:r>
            <w:r>
              <w:rPr>
                <w:rFonts w:hint="eastAsia" w:ascii="宋体" w:hAnsi="宋体" w:cs="宋体"/>
                <w:sz w:val="24"/>
                <w:highlight w:val="none"/>
              </w:rPr>
              <w:t xml:space="preserve">。  </w:t>
            </w:r>
            <w:r/>
          </w:p>
          <w:p>
            <w:pPr>
              <w:jc w:val="left"/>
              <w:spacing w:line="360" w:lineRule="exact"/>
              <w:rPr>
                <w:rFonts w:ascii="宋体" w:hAnsi="宋体" w:cs="宋体"/>
                <w:sz w:val="24"/>
              </w:rPr>
            </w:pPr>
            <w:r>
              <w:rPr>
                <w:rFonts w:hint="eastAsia" w:ascii="宋体" w:hAnsi="宋体" w:cs="宋体"/>
                <w:sz w:val="24"/>
              </w:rPr>
              <w:t xml:space="preserve">3、服务收费按上述计算方法不足人民币3000元的，按人民币3000元收取。 </w:t>
            </w:r>
            <w:r/>
          </w:p>
          <w:p>
            <w:pPr>
              <w:jc w:val="left"/>
              <w:spacing w:line="360" w:lineRule="exact"/>
              <w:rPr>
                <w:rFonts w:ascii="宋体" w:hAnsi="宋体" w:cs="宋体"/>
                <w:sz w:val="24"/>
              </w:rPr>
            </w:pPr>
            <w:r>
              <w:rPr>
                <w:rFonts w:hint="eastAsia" w:ascii="宋体" w:hAnsi="宋体" w:cs="宋体"/>
                <w:sz w:val="24"/>
              </w:rPr>
              <w:t xml:space="preserve">4、缴纳时间：领取中标通知书时缴纳。</w:t>
            </w:r>
            <w:r/>
          </w:p>
          <w:p>
            <w:pPr>
              <w:jc w:val="left"/>
              <w:spacing w:line="360" w:lineRule="exact"/>
              <w:rPr>
                <w:rFonts w:ascii="宋体" w:hAnsi="宋体" w:cs="宋体"/>
                <w:sz w:val="24"/>
              </w:rPr>
            </w:pPr>
            <w:r>
              <w:rPr>
                <w:rFonts w:hint="eastAsia" w:ascii="宋体" w:hAnsi="宋体" w:cs="宋体"/>
                <w:sz w:val="24"/>
              </w:rPr>
              <w:t xml:space="preserve">5、缴纳方式：</w:t>
            </w:r>
            <w:r/>
          </w:p>
          <w:p>
            <w:pPr>
              <w:jc w:val="left"/>
              <w:spacing w:line="360" w:lineRule="exact"/>
              <w:rPr>
                <w:rFonts w:ascii="宋体" w:hAnsi="宋体" w:cs="宋体"/>
                <w:sz w:val="24"/>
              </w:rPr>
            </w:pPr>
            <w:r>
              <w:rPr>
                <w:rFonts w:hint="eastAsia" w:ascii="宋体" w:hAnsi="宋体" w:cs="宋体"/>
                <w:sz w:val="24"/>
              </w:rPr>
              <w:t xml:space="preserve">收款人名称：常州正衡招投标有限公司</w:t>
            </w:r>
            <w:r/>
          </w:p>
          <w:p>
            <w:pPr>
              <w:jc w:val="left"/>
              <w:spacing w:line="360" w:lineRule="exact"/>
              <w:rPr>
                <w:rFonts w:ascii="宋体" w:hAnsi="宋体" w:cs="宋体"/>
                <w:sz w:val="24"/>
              </w:rPr>
            </w:pPr>
            <w:r>
              <w:rPr>
                <w:rFonts w:hint="eastAsia" w:ascii="宋体" w:hAnsi="宋体" w:cs="宋体"/>
                <w:sz w:val="24"/>
              </w:rPr>
              <w:t xml:space="preserve">开户行名称：招商银行常州北大街支行</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支付宝账号：3415909493@qq.com（备注单位名称及项目名称）</w:t>
            </w:r>
            <w:r/>
          </w:p>
        </w:tc>
      </w:tr>
    </w:tbl>
    <w:p>
      <w:pPr>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0"/>
          <w:cols w:num="1" w:sep="0" w:space="720" w:equalWidth="1"/>
          <w:docGrid w:linePitch="360"/>
          <w:titlePg/>
        </w:sectPr>
      </w:pPr>
      <w:r>
        <w:rPr>
          <w:sz w:val="24"/>
        </w:rPr>
      </w:r>
      <w:r/>
    </w:p>
    <w:p>
      <w:pPr>
        <w:jc w:val="center"/>
        <w:spacing w:before="240" w:after="240"/>
        <w:rPr>
          <w:b/>
          <w:sz w:val="28"/>
          <w:szCs w:val="28"/>
        </w:rPr>
      </w:pPr>
      <w:r/>
      <w:bookmarkStart w:id="52" w:name="_Toc226965790"/>
      <w:r/>
      <w:bookmarkStart w:id="53" w:name="_Toc305158785"/>
      <w:r/>
      <w:bookmarkStart w:id="54" w:name="_Toc195842882"/>
      <w:r/>
      <w:bookmarkStart w:id="55" w:name="_Toc264969207"/>
      <w:r/>
      <w:bookmarkStart w:id="56" w:name="_Toc150774722"/>
      <w:r/>
      <w:bookmarkStart w:id="57" w:name="_Toc353873662"/>
      <w:r/>
      <w:bookmarkStart w:id="58" w:name="_Toc305158859"/>
      <w:r/>
      <w:bookmarkStart w:id="59" w:name="_Toc226337213"/>
      <w:r/>
      <w:bookmarkStart w:id="60" w:name="_Toc265228355"/>
      <w:r/>
      <w:bookmarkStart w:id="61" w:name="_Toc142311019"/>
      <w:r/>
      <w:bookmarkStart w:id="62" w:name="_Toc353873932"/>
      <w:r/>
      <w:bookmarkStart w:id="63" w:name="_Toc127151517"/>
      <w:r/>
      <w:bookmarkStart w:id="64" w:name="_Toc353825542"/>
      <w:r/>
      <w:bookmarkStart w:id="65" w:name="_Toc150480755"/>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1027"/>
        <w:jc w:val="left"/>
        <w:spacing w:before="0" w:line="360" w:lineRule="auto"/>
        <w:tabs>
          <w:tab w:val="center" w:pos="4592" w:leader="none"/>
          <w:tab w:val="left" w:pos="7860" w:leader="none"/>
        </w:tabs>
        <w:rPr>
          <w:rFonts w:ascii="Times New Roman" w:hAnsi="Times New Roman" w:eastAsia="宋体"/>
          <w:sz w:val="28"/>
        </w:rPr>
      </w:pPr>
      <w:r/>
      <w:bookmarkStart w:id="66" w:name="_Toc520356143"/>
      <w:r/>
      <w:bookmarkStart w:id="67" w:name="_Toc127151518"/>
      <w:r>
        <w:rPr>
          <w:rFonts w:ascii="Times New Roman" w:hAnsi="Times New Roman" w:eastAsia="宋体"/>
          <w:sz w:val="28"/>
        </w:rPr>
        <w:tab/>
      </w:r>
      <w:bookmarkStart w:id="68" w:name="_Toc151193688"/>
      <w:r/>
      <w:bookmarkStart w:id="69" w:name="_Toc151193760"/>
      <w:r/>
      <w:bookmarkStart w:id="70" w:name="_Toc142311020"/>
      <w:r/>
      <w:bookmarkStart w:id="71" w:name="_Toc150480756"/>
      <w:r/>
      <w:bookmarkStart w:id="72" w:name="_Toc151193906"/>
      <w:r/>
      <w:bookmarkStart w:id="73" w:name="_Toc305158786"/>
      <w:r/>
      <w:bookmarkStart w:id="74" w:name="_Toc150774723"/>
      <w:r/>
      <w:bookmarkStart w:id="75" w:name="_Toc195842883"/>
      <w:r/>
      <w:bookmarkStart w:id="76" w:name="_Toc151193832"/>
      <w:r/>
      <w:bookmarkStart w:id="77" w:name="_Toc226965708"/>
      <w:r/>
      <w:bookmarkStart w:id="78" w:name="_Toc305158860"/>
      <w:r/>
      <w:bookmarkStart w:id="79" w:name="_Toc226309762"/>
      <w:r/>
      <w:bookmarkStart w:id="80" w:name="_Toc151193616"/>
      <w:r/>
      <w:bookmarkStart w:id="81" w:name="_Toc265228356"/>
      <w:r/>
      <w:bookmarkStart w:id="82" w:name="_Toc150774618"/>
      <w:r/>
      <w:bookmarkStart w:id="83" w:name="_Toc264969208"/>
      <w:r/>
      <w:bookmarkStart w:id="84" w:name="_Toc150509269"/>
      <w:r/>
      <w:bookmarkStart w:id="85" w:name="_Toc151190145"/>
      <w:r/>
      <w:bookmarkStart w:id="86" w:name="_Toc226965791"/>
      <w:r/>
      <w:bookmarkStart w:id="87" w:name="_Toc226337214"/>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88" w:name="_Toc305158861"/>
      <w:r/>
      <w:bookmarkStart w:id="89" w:name="_Toc265228357"/>
      <w:r/>
      <w:bookmarkStart w:id="90" w:name="_Toc264969209"/>
      <w:r/>
      <w:bookmarkStart w:id="91" w:name="_Toc305158787"/>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92" w:name="_Toc150774620"/>
      <w:r/>
      <w:bookmarkStart w:id="93" w:name="_Toc265228358"/>
      <w:r/>
      <w:bookmarkStart w:id="94" w:name="_Toc226965710"/>
      <w:r/>
      <w:bookmarkStart w:id="95" w:name="_Toc127151520"/>
      <w:r/>
      <w:bookmarkStart w:id="96" w:name="_Toc151190147"/>
      <w:r/>
      <w:bookmarkStart w:id="97" w:name="_Toc127151721"/>
      <w:r/>
      <w:bookmarkStart w:id="98" w:name="_Toc226309764"/>
      <w:r/>
      <w:bookmarkStart w:id="99" w:name="_Toc151193834"/>
      <w:r/>
      <w:bookmarkStart w:id="100" w:name="_Toc305158788"/>
      <w:r/>
      <w:bookmarkStart w:id="101" w:name="_Toc164229361"/>
      <w:r/>
      <w:bookmarkStart w:id="102" w:name="_Toc150774725"/>
      <w:r/>
      <w:bookmarkStart w:id="103" w:name="_Toc149720813"/>
      <w:r/>
      <w:bookmarkStart w:id="104" w:name="_Toc151193908"/>
      <w:r/>
      <w:bookmarkStart w:id="105" w:name="_Toc150480758"/>
      <w:r/>
      <w:bookmarkStart w:id="106" w:name="_Toc164351614"/>
      <w:r/>
      <w:bookmarkStart w:id="107" w:name="_Toc151193762"/>
      <w:r/>
      <w:bookmarkStart w:id="108" w:name="_Toc150509271"/>
      <w:r/>
      <w:bookmarkStart w:id="109" w:name="_Toc226337216"/>
      <w:r/>
      <w:bookmarkStart w:id="110" w:name="_Toc195842885"/>
      <w:r/>
      <w:bookmarkStart w:id="111" w:name="_Toc305158862"/>
      <w:r/>
      <w:bookmarkStart w:id="112" w:name="_Toc151193690"/>
      <w:r/>
      <w:bookmarkStart w:id="113" w:name="_Toc127161434"/>
      <w:r/>
      <w:bookmarkStart w:id="114" w:name="_Toc164608789"/>
      <w:r/>
      <w:bookmarkStart w:id="115" w:name="_Toc151193618"/>
      <w:r/>
      <w:bookmarkStart w:id="116" w:name="_Toc164229215"/>
      <w:r/>
      <w:bookmarkStart w:id="117" w:name="_Toc264969210"/>
      <w:r/>
      <w:bookmarkStart w:id="118" w:name="_Toc164608634"/>
      <w:r/>
      <w:bookmarkStart w:id="119" w:name="_Toc226965793"/>
      <w:r/>
      <w:bookmarkStart w:id="120" w:name="_Toc142311022"/>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hanging="357"/>
        <w:spacing w:line="360" w:lineRule="auto"/>
        <w:tabs>
          <w:tab w:val="left" w:pos="360" w:leader="none"/>
        </w:tabs>
        <w:rPr>
          <w:sz w:val="24"/>
        </w:rPr>
        <w:outlineLvl w:val="1"/>
      </w:pPr>
      <w:r>
        <w:rPr>
          <w:sz w:val="24"/>
        </w:rPr>
        <w:t xml:space="preserve">现场考察、开标前答疑会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51193620"/>
      <w:r/>
      <w:bookmarkStart w:id="122" w:name="_Toc265228360"/>
      <w:r/>
      <w:bookmarkStart w:id="123" w:name="_Toc226965795"/>
      <w:r/>
      <w:bookmarkStart w:id="124" w:name="_Toc127151522"/>
      <w:r/>
      <w:bookmarkStart w:id="125" w:name="_Toc142311024"/>
      <w:r/>
      <w:bookmarkStart w:id="126" w:name="_Toc305158790"/>
      <w:r/>
      <w:bookmarkStart w:id="127" w:name="_Toc226337218"/>
      <w:r/>
      <w:bookmarkStart w:id="128" w:name="_Toc520356146"/>
      <w:r/>
      <w:bookmarkStart w:id="129" w:name="_Toc150509273"/>
      <w:r/>
      <w:bookmarkStart w:id="130" w:name="_Toc150480760"/>
      <w:r/>
      <w:bookmarkStart w:id="131" w:name="_Toc151193764"/>
      <w:r/>
      <w:bookmarkStart w:id="132" w:name="_Toc195842887"/>
      <w:r/>
      <w:bookmarkStart w:id="133" w:name="_Toc264969212"/>
      <w:r/>
      <w:bookmarkStart w:id="134" w:name="_Toc150774727"/>
      <w:r/>
      <w:bookmarkStart w:id="135" w:name="_Toc226965712"/>
      <w:r/>
      <w:bookmarkStart w:id="136" w:name="_Toc150774622"/>
      <w:r/>
      <w:bookmarkStart w:id="137" w:name="_Toc305158864"/>
      <w:r/>
      <w:bookmarkStart w:id="138" w:name="_Toc151193910"/>
      <w:r/>
      <w:bookmarkStart w:id="139" w:name="_Toc226309766"/>
      <w:r/>
      <w:bookmarkStart w:id="140" w:name="_Toc151190149"/>
      <w:r/>
      <w:bookmarkStart w:id="141" w:name="_Toc151193836"/>
      <w:r/>
      <w:bookmarkStart w:id="142" w:name="_Toc151193692"/>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rPr>
        <w:outlineLvl w:val="1"/>
      </w:pPr>
      <w:r>
        <w:rPr>
          <w:sz w:val="24"/>
        </w:rPr>
        <w:t xml:space="preserve">样品</w:t>
      </w:r>
      <w:r/>
    </w:p>
    <w:p>
      <w:pPr>
        <w:numPr>
          <w:ilvl w:val="1"/>
          <w:numId w:val="8"/>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8"/>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276" w:leader="none"/>
          <w:tab w:val="left" w:pos="2014" w:leader="none"/>
        </w:tabs>
        <w:rPr>
          <w:sz w:val="24"/>
        </w:rPr>
      </w:pPr>
      <w:r>
        <w:rPr>
          <w:sz w:val="24"/>
        </w:rPr>
        <w:t xml:space="preserve">中小企业、监狱企业及残疾人福利性单位</w:t>
      </w:r>
      <w:r/>
    </w:p>
    <w:p>
      <w:pPr>
        <w:numPr>
          <w:ilvl w:val="2"/>
          <w:numId w:val="8"/>
        </w:numPr>
        <w:ind w:hanging="1554"/>
        <w:spacing w:line="360" w:lineRule="auto"/>
        <w:tabs>
          <w:tab w:val="left" w:pos="426" w:leader="none"/>
          <w:tab w:val="clear" w:pos="1980" w:leader="none"/>
        </w:tabs>
        <w:rPr>
          <w:sz w:val="24"/>
        </w:rPr>
      </w:pPr>
      <w:r>
        <w:rPr>
          <w:sz w:val="24"/>
        </w:rPr>
        <w:t xml:space="preserve">中小企业定义：</w:t>
      </w:r>
      <w:r/>
    </w:p>
    <w:p>
      <w:pPr>
        <w:pStyle w:val="112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hanging="2459"/>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pStyle w:val="112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4"/>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本项目是否专门面向中小企业预留采购份额见第一章《投标邀请》。</w:t>
      </w:r>
      <w:r/>
    </w:p>
    <w:p>
      <w:pPr>
        <w:numPr>
          <w:ilvl w:val="2"/>
          <w:numId w:val="8"/>
        </w:numPr>
        <w:spacing w:line="360" w:lineRule="auto"/>
        <w:rPr>
          <w:sz w:val="24"/>
        </w:rPr>
      </w:pPr>
      <w:r>
        <w:rPr>
          <w:sz w:val="24"/>
        </w:rPr>
        <w:t xml:space="preserve">采购标的对应的中小企业划分标准所属行业见《投标人须知资料表》。</w:t>
      </w:r>
      <w:r/>
    </w:p>
    <w:p>
      <w:pPr>
        <w:numPr>
          <w:ilvl w:val="2"/>
          <w:numId w:val="8"/>
        </w:numPr>
        <w:spacing w:line="360" w:lineRule="auto"/>
        <w:rPr>
          <w:sz w:val="24"/>
        </w:rPr>
      </w:pPr>
      <w:r>
        <w:rPr>
          <w:sz w:val="24"/>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8"/>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8"/>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8"/>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480" w:lineRule="exact"/>
        <w:rPr>
          <w:sz w:val="24"/>
        </w:rPr>
      </w:pPr>
      <w:r>
        <w:rPr>
          <w:rFonts w:hint="eastAsia"/>
          <w:sz w:val="24"/>
        </w:rPr>
        <w:t xml:space="preserve">5.7   </w:t>
      </w:r>
      <w:r>
        <w:rPr>
          <w:rFonts w:hint="eastAsia"/>
          <w:szCs w:val="21"/>
        </w:rPr>
        <w:t xml:space="preserve">绿色采购政策</w:t>
      </w:r>
      <w:r/>
    </w:p>
    <w:p>
      <w:pPr>
        <w:ind w:left="9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p>
    <w:p>
      <w:pPr>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sz w:val="24"/>
        </w:rPr>
      </w:pPr>
      <w:r>
        <w:rPr>
          <w:rFonts w:hint="eastAsia" w:ascii="宋体" w:hAnsi="宋体"/>
          <w:sz w:val="24"/>
        </w:rPr>
        <w:t xml:space="preserve">5.7.2 推广应用绿色建材</w:t>
      </w:r>
      <w:r/>
    </w:p>
    <w:p>
      <w:pPr>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ascii="宋体" w:hAnsi="宋体"/>
          <w:sz w:val="24"/>
        </w:rPr>
      </w:pPr>
      <w:r>
        <w:rPr>
          <w:rFonts w:hint="eastAsia" w:ascii="宋体" w:hAnsi="宋体"/>
          <w:sz w:val="24"/>
        </w:rPr>
        <w:t xml:space="preserve">5.7.3 优先使用低挥发性有机化合物产品</w:t>
      </w:r>
      <w:r/>
    </w:p>
    <w:p>
      <w:pPr>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81"/>
      </w:pPr>
      <w:r/>
      <w:r/>
    </w:p>
    <w:p>
      <w:pPr>
        <w:numPr>
          <w:ilvl w:val="0"/>
          <w:numId w:val="8"/>
        </w:numPr>
        <w:ind w:left="357" w:hanging="357"/>
        <w:spacing w:line="360" w:lineRule="auto"/>
        <w:tabs>
          <w:tab w:val="left" w:pos="360" w:leader="none"/>
        </w:tabs>
        <w:rPr>
          <w:sz w:val="24"/>
        </w:rPr>
        <w:outlineLvl w:val="1"/>
      </w:pPr>
      <w:r>
        <w:rPr>
          <w:sz w:val="24"/>
        </w:rPr>
        <w:t xml:space="preserve">投标费用</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43" w:name="_1.8_计量单位"/>
      <w:r/>
      <w:bookmarkEnd w:id="143"/>
      <w:r/>
      <w:r/>
    </w:p>
    <w:p>
      <w:pPr>
        <w:pStyle w:val="1027"/>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hanging="357"/>
        <w:spacing w:line="360" w:lineRule="auto"/>
        <w:tabs>
          <w:tab w:val="left" w:pos="360" w:leader="none"/>
        </w:tabs>
        <w:rPr>
          <w:sz w:val="24"/>
        </w:rPr>
        <w:outlineLvl w:val="1"/>
      </w:pPr>
      <w:r/>
      <w:bookmarkStart w:id="144" w:name="_Toc226337219"/>
      <w:r/>
      <w:bookmarkStart w:id="145" w:name="_Toc151193837"/>
      <w:r/>
      <w:bookmarkStart w:id="146" w:name="_Toc164229218"/>
      <w:r/>
      <w:bookmarkStart w:id="147" w:name="_Toc151193621"/>
      <w:r/>
      <w:bookmarkStart w:id="148" w:name="_Toc305158791"/>
      <w:r/>
      <w:bookmarkStart w:id="149" w:name="_Toc150509274"/>
      <w:r/>
      <w:bookmarkStart w:id="150" w:name="_Toc305158865"/>
      <w:r/>
      <w:bookmarkStart w:id="151" w:name="_Toc151193693"/>
      <w:r/>
      <w:bookmarkStart w:id="152" w:name="_Toc149720816"/>
      <w:r/>
      <w:bookmarkStart w:id="153" w:name="_Toc150774728"/>
      <w:r/>
      <w:bookmarkStart w:id="154" w:name="_Toc226965713"/>
      <w:r/>
      <w:bookmarkStart w:id="155" w:name="_Toc226309767"/>
      <w:r/>
      <w:bookmarkStart w:id="156" w:name="_Toc151193765"/>
      <w:r/>
      <w:bookmarkStart w:id="157" w:name="_Toc150774623"/>
      <w:r/>
      <w:bookmarkStart w:id="158" w:name="_Toc164229364"/>
      <w:r/>
      <w:bookmarkStart w:id="159" w:name="_Toc142311025"/>
      <w:r/>
      <w:bookmarkStart w:id="160" w:name="_Toc226965796"/>
      <w:r/>
      <w:bookmarkStart w:id="161" w:name="_Toc195842888"/>
      <w:r/>
      <w:bookmarkStart w:id="162" w:name="_Toc264969213"/>
      <w:r/>
      <w:bookmarkStart w:id="163" w:name="_Toc151193911"/>
      <w:r/>
      <w:bookmarkStart w:id="164" w:name="_Toc127151724"/>
      <w:r/>
      <w:bookmarkStart w:id="165" w:name="_Toc265228361"/>
      <w:r/>
      <w:bookmarkStart w:id="166" w:name="_Toc151190150"/>
      <w:r/>
      <w:bookmarkStart w:id="167" w:name="_Toc150480761"/>
      <w:r/>
      <w:bookmarkStart w:id="168" w:name="_Toc520356147"/>
      <w:r/>
      <w:bookmarkStart w:id="169" w:name="_Toc164351617"/>
      <w:r/>
      <w:bookmarkStart w:id="170" w:name="_Toc127161437"/>
      <w:r/>
      <w:bookmarkStart w:id="171" w:name="_Toc164608637"/>
      <w:r/>
      <w:bookmarkStart w:id="172" w:name="_Toc127151523"/>
      <w:r/>
      <w:bookmarkStart w:id="173" w:name="_Toc164608792"/>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0"/>
        </w:numPr>
        <w:ind w:left="1440" w:firstLine="5"/>
        <w:spacing w:line="360" w:lineRule="auto"/>
        <w:tabs>
          <w:tab w:val="left" w:pos="1980" w:leader="none"/>
          <w:tab w:val="left" w:pos="2520" w:leader="none"/>
        </w:tabs>
        <w:rPr>
          <w:sz w:val="24"/>
        </w:rPr>
      </w:pPr>
      <w:r>
        <w:rPr>
          <w:rFonts w:hint="eastAsia"/>
          <w:sz w:val="24"/>
        </w:rPr>
        <w:t xml:space="preserve">招标公告</w:t>
      </w:r>
      <w:r/>
    </w:p>
    <w:p>
      <w:pPr>
        <w:numPr>
          <w:ilvl w:val="0"/>
          <w:numId w:val="10"/>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0"/>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0"/>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0"/>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74" w:name="_Toc516367020"/>
      <w:r/>
      <w:bookmarkStart w:id="175" w:name="_Toc226965716"/>
      <w:r/>
      <w:bookmarkStart w:id="176" w:name="_Toc264969216"/>
      <w:r/>
      <w:bookmarkStart w:id="177" w:name="_Toc226309770"/>
      <w:r/>
      <w:bookmarkStart w:id="178" w:name="_Toc150509277"/>
      <w:r/>
      <w:bookmarkStart w:id="179" w:name="_Toc226965799"/>
      <w:r/>
      <w:bookmarkStart w:id="180" w:name="_Toc151193840"/>
      <w:r/>
      <w:bookmarkStart w:id="181" w:name="_Toc151190153"/>
      <w:r/>
      <w:bookmarkStart w:id="182" w:name="_Toc305158868"/>
      <w:r/>
      <w:bookmarkStart w:id="183" w:name="_Toc226337222"/>
      <w:r/>
      <w:bookmarkStart w:id="184" w:name="_Toc195842891"/>
      <w:r/>
      <w:bookmarkStart w:id="185" w:name="_Toc151193914"/>
      <w:r/>
      <w:bookmarkStart w:id="186" w:name="_Toc142311028"/>
      <w:r/>
      <w:bookmarkStart w:id="187" w:name="_Toc305158794"/>
      <w:r/>
      <w:bookmarkStart w:id="188" w:name="_Toc150774731"/>
      <w:r/>
      <w:bookmarkStart w:id="189" w:name="_Toc151193768"/>
      <w:r/>
      <w:bookmarkStart w:id="190" w:name="_Toc520356150"/>
      <w:r/>
      <w:bookmarkStart w:id="191" w:name="_Toc151193624"/>
      <w:r/>
      <w:bookmarkStart w:id="192" w:name="_Toc150480764"/>
      <w:r/>
      <w:bookmarkStart w:id="193" w:name="_Toc151193696"/>
      <w:r/>
      <w:bookmarkStart w:id="194" w:name="_Toc150774626"/>
      <w:r/>
      <w:bookmarkStart w:id="195" w:name="_Toc127151526"/>
      <w:r/>
      <w:bookmarkStart w:id="196" w:name="_Toc265228364"/>
      <w:r/>
      <w:r/>
    </w:p>
    <w:p>
      <w:pPr>
        <w:pStyle w:val="102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hanging="357"/>
        <w:spacing w:line="360" w:lineRule="auto"/>
        <w:tabs>
          <w:tab w:val="left" w:pos="360" w:leader="none"/>
        </w:tabs>
        <w:rPr>
          <w:sz w:val="24"/>
        </w:rPr>
        <w:outlineLvl w:val="1"/>
      </w:pPr>
      <w:r/>
      <w:bookmarkStart w:id="197" w:name="_Toc226337223"/>
      <w:r/>
      <w:bookmarkStart w:id="198" w:name="_Toc164351621"/>
      <w:r/>
      <w:bookmarkStart w:id="199" w:name="_Toc127151728"/>
      <w:r/>
      <w:bookmarkStart w:id="200" w:name="_Toc127151527"/>
      <w:r/>
      <w:bookmarkStart w:id="201" w:name="_Toc150774627"/>
      <w:r/>
      <w:bookmarkStart w:id="202" w:name="_Toc226965800"/>
      <w:r/>
      <w:bookmarkStart w:id="203" w:name="_Toc127161441"/>
      <w:r/>
      <w:bookmarkStart w:id="204" w:name="_Toc150480765"/>
      <w:r/>
      <w:bookmarkStart w:id="205" w:name="_Toc151193841"/>
      <w:r/>
      <w:bookmarkStart w:id="206" w:name="_Toc151190154"/>
      <w:r/>
      <w:bookmarkStart w:id="207" w:name="_Toc195842892"/>
      <w:r/>
      <w:bookmarkStart w:id="208" w:name="_Toc226309771"/>
      <w:r/>
      <w:bookmarkStart w:id="209" w:name="_Toc151193915"/>
      <w:r/>
      <w:bookmarkStart w:id="210" w:name="_Toc149720820"/>
      <w:r/>
      <w:bookmarkStart w:id="211" w:name="_Toc516367021"/>
      <w:r/>
      <w:bookmarkStart w:id="212" w:name="_Toc265228365"/>
      <w:r/>
      <w:bookmarkStart w:id="213" w:name="_Toc151193625"/>
      <w:r/>
      <w:bookmarkStart w:id="214" w:name="_Toc142311029"/>
      <w:r/>
      <w:bookmarkStart w:id="215" w:name="_Toc520356151"/>
      <w:r/>
      <w:bookmarkStart w:id="216" w:name="_Toc150509278"/>
      <w:r/>
      <w:bookmarkStart w:id="217" w:name="_Toc305158869"/>
      <w:r/>
      <w:bookmarkStart w:id="218" w:name="_Toc151193697"/>
      <w:r/>
      <w:bookmarkStart w:id="219" w:name="_Toc164608796"/>
      <w:r/>
      <w:bookmarkStart w:id="220" w:name="_Toc151193769"/>
      <w:r/>
      <w:bookmarkStart w:id="221" w:name="_Toc264969217"/>
      <w:r/>
      <w:bookmarkStart w:id="222" w:name="_Toc164608641"/>
      <w:r/>
      <w:bookmarkStart w:id="223" w:name="_Toc226965717"/>
      <w:r/>
      <w:bookmarkStart w:id="224" w:name="_Toc164229222"/>
      <w:r/>
      <w:bookmarkStart w:id="225" w:name="_Toc164229368"/>
      <w:r/>
      <w:bookmarkStart w:id="226" w:name="_Toc150774732"/>
      <w:r/>
      <w:bookmarkStart w:id="227" w:name="_Toc305158795"/>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rPr>
        <w:outlineLvl w:val="1"/>
      </w:pPr>
      <w:r/>
      <w:bookmarkStart w:id="228" w:name="_Toc516367022"/>
      <w:r/>
      <w:bookmarkStart w:id="229" w:name="_Ref467306195"/>
      <w:r/>
      <w:bookmarkStart w:id="230" w:name="_Ref467306676"/>
      <w:r/>
      <w:bookmarkStart w:id="231" w:name="_Toc265228366"/>
      <w:r/>
      <w:bookmarkStart w:id="232" w:name="_Toc127151528"/>
      <w:r/>
      <w:bookmarkStart w:id="233" w:name="_Toc150509279"/>
      <w:r/>
      <w:bookmarkStart w:id="234" w:name="_Toc151193842"/>
      <w:r/>
      <w:bookmarkStart w:id="235" w:name="_Toc226965718"/>
      <w:r/>
      <w:bookmarkStart w:id="236" w:name="_Toc127161442"/>
      <w:r/>
      <w:bookmarkStart w:id="237" w:name="_Toc305158796"/>
      <w:r/>
      <w:bookmarkStart w:id="238" w:name="_Toc151190155"/>
      <w:r/>
      <w:bookmarkStart w:id="239" w:name="_Toc151193916"/>
      <w:r/>
      <w:bookmarkStart w:id="240" w:name="_Toc226309772"/>
      <w:r/>
      <w:bookmarkStart w:id="241" w:name="_Toc226965801"/>
      <w:r/>
      <w:bookmarkStart w:id="242" w:name="_Toc164229369"/>
      <w:r/>
      <w:bookmarkStart w:id="243" w:name="_Toc150480766"/>
      <w:r/>
      <w:bookmarkStart w:id="244" w:name="_Toc226337224"/>
      <w:r/>
      <w:bookmarkStart w:id="245" w:name="_Toc127151729"/>
      <w:r/>
      <w:bookmarkStart w:id="246" w:name="_Toc149720821"/>
      <w:r/>
      <w:bookmarkStart w:id="247" w:name="_Toc164229223"/>
      <w:r/>
      <w:bookmarkStart w:id="248" w:name="_Toc264969218"/>
      <w:r/>
      <w:bookmarkStart w:id="249" w:name="_Toc520356152"/>
      <w:r/>
      <w:bookmarkStart w:id="250" w:name="_Toc150774628"/>
      <w:r/>
      <w:bookmarkStart w:id="251" w:name="_Toc150774733"/>
      <w:r/>
      <w:bookmarkStart w:id="252" w:name="_Toc151193770"/>
      <w:r/>
      <w:bookmarkStart w:id="253" w:name="_Toc151193698"/>
      <w:r/>
      <w:bookmarkStart w:id="254" w:name="_Toc151193626"/>
      <w:r/>
      <w:bookmarkStart w:id="255" w:name="_Toc195842893"/>
      <w:r/>
      <w:bookmarkStart w:id="256" w:name="_Toc164608797"/>
      <w:r/>
      <w:bookmarkStart w:id="257" w:name="_Toc142311030"/>
      <w:r/>
      <w:bookmarkStart w:id="258" w:name="_Toc305158870"/>
      <w:r/>
      <w:bookmarkStart w:id="259" w:name="_Toc164608642"/>
      <w:r/>
      <w:bookmarkStart w:id="260" w:name="_Toc164351622"/>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hanging="720"/>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投标人认为应附的其他材料。</w:t>
      </w:r>
      <w:bookmarkEnd w:id="261"/>
      <w:r/>
      <w:r/>
    </w:p>
    <w:p>
      <w:pPr>
        <w:numPr>
          <w:ilvl w:val="0"/>
          <w:numId w:val="8"/>
        </w:numPr>
        <w:ind w:left="357" w:hanging="357"/>
        <w:spacing w:line="360" w:lineRule="auto"/>
        <w:tabs>
          <w:tab w:val="left" w:pos="360" w:leader="none"/>
        </w:tabs>
        <w:rPr>
          <w:sz w:val="24"/>
        </w:rPr>
        <w:outlineLvl w:val="1"/>
      </w:pPr>
      <w:r/>
      <w:bookmarkStart w:id="262" w:name="_Toc151190157"/>
      <w:r/>
      <w:bookmarkStart w:id="263" w:name="_Toc151193772"/>
      <w:r/>
      <w:bookmarkStart w:id="264" w:name="_Toc150480768"/>
      <w:r/>
      <w:bookmarkStart w:id="265" w:name="_Toc150509281"/>
      <w:r/>
      <w:bookmarkStart w:id="266" w:name="_Toc151193918"/>
      <w:r/>
      <w:bookmarkStart w:id="267" w:name="_Toc149720823"/>
      <w:r/>
      <w:bookmarkStart w:id="268" w:name="_Toc164608644"/>
      <w:r/>
      <w:bookmarkStart w:id="269" w:name="_Toc142311032"/>
      <w:r/>
      <w:bookmarkStart w:id="270" w:name="_Toc164229371"/>
      <w:r/>
      <w:bookmarkStart w:id="271" w:name="_Toc164351624"/>
      <w:r/>
      <w:bookmarkStart w:id="272" w:name="_Toc127161444"/>
      <w:r/>
      <w:bookmarkStart w:id="273" w:name="_Toc151193628"/>
      <w:r/>
      <w:bookmarkStart w:id="274" w:name="_Toc164608799"/>
      <w:r/>
      <w:bookmarkStart w:id="275" w:name="_Toc151193844"/>
      <w:r/>
      <w:bookmarkStart w:id="276" w:name="_Toc164229225"/>
      <w:r/>
      <w:bookmarkStart w:id="277" w:name="_Toc195842895"/>
      <w:r/>
      <w:bookmarkStart w:id="278" w:name="_Toc127151731"/>
      <w:r/>
      <w:bookmarkStart w:id="279" w:name="_Toc150774630"/>
      <w:r/>
      <w:bookmarkStart w:id="280" w:name="_Toc127151530"/>
      <w:r/>
      <w:bookmarkStart w:id="281" w:name="_Toc150774735"/>
      <w:r/>
      <w:bookmarkStart w:id="282" w:name="_Toc151193700"/>
      <w:r/>
      <w:bookmarkStart w:id="283" w:name="_Toc520356155"/>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8"/>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rPr>
      </w:pPr>
      <w:r>
        <w:rPr>
          <w:sz w:val="24"/>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投标人不能提供任何有选择性或可调整的报价，否则其投标无效。</w:t>
      </w:r>
      <w:r/>
    </w:p>
    <w:p>
      <w:pPr>
        <w:numPr>
          <w:ilvl w:val="0"/>
          <w:numId w:val="0"/>
        </w:numPr>
        <w:ind w:left="357"/>
        <w:spacing w:line="360" w:lineRule="auto"/>
        <w:tabs>
          <w:tab w:val="left" w:pos="1080" w:leader="none"/>
          <w:tab w:val="left" w:pos="2014" w:leader="none"/>
        </w:tabs>
        <w:rPr>
          <w:rFonts w:hint="default"/>
          <w:sz w:val="24"/>
        </w:rPr>
      </w:pPr>
      <w:r/>
      <w:bookmarkStart w:id="284" w:name="_Toc226337227"/>
      <w:r/>
      <w:bookmarkStart w:id="285" w:name="_Toc127161445"/>
      <w:r/>
      <w:bookmarkStart w:id="286" w:name="_Toc164608800"/>
      <w:r/>
      <w:bookmarkStart w:id="287" w:name="_Toc305158873"/>
      <w:r/>
      <w:bookmarkStart w:id="288" w:name="_Toc164229226"/>
      <w:r/>
      <w:bookmarkStart w:id="289" w:name="_Toc151193701"/>
      <w:r/>
      <w:bookmarkStart w:id="290" w:name="_Toc520356156"/>
      <w:r/>
      <w:bookmarkStart w:id="291" w:name="_Toc164351625"/>
      <w:r/>
      <w:bookmarkStart w:id="292" w:name="_Toc264969221"/>
      <w:r/>
      <w:bookmarkStart w:id="293" w:name="_Toc127151531"/>
      <w:r/>
      <w:bookmarkStart w:id="294" w:name="_Toc226965721"/>
      <w:r/>
      <w:bookmarkStart w:id="295" w:name="_Toc226965804"/>
      <w:r/>
      <w:bookmarkStart w:id="296" w:name="_Toc127151732"/>
      <w:r/>
      <w:bookmarkStart w:id="297" w:name="_Toc151193919"/>
      <w:r/>
      <w:bookmarkStart w:id="298" w:name="_Toc150509282"/>
      <w:r/>
      <w:bookmarkStart w:id="299" w:name="_Toc150774631"/>
      <w:r/>
      <w:bookmarkStart w:id="300" w:name="_Toc164229372"/>
      <w:r/>
      <w:bookmarkStart w:id="301" w:name="_Toc150480769"/>
      <w:r/>
      <w:bookmarkStart w:id="302" w:name="_Toc195842896"/>
      <w:r/>
      <w:bookmarkStart w:id="303" w:name="_Toc142311033"/>
      <w:r/>
      <w:bookmarkStart w:id="304" w:name="_Toc164608645"/>
      <w:r/>
      <w:bookmarkStart w:id="305" w:name="_Toc305158799"/>
      <w:r/>
      <w:bookmarkStart w:id="306" w:name="_Toc150774736"/>
      <w:r/>
      <w:bookmarkStart w:id="307" w:name="_Toc151193845"/>
      <w:r/>
      <w:bookmarkStart w:id="308" w:name="_Ref467306513"/>
      <w:r/>
      <w:bookmarkStart w:id="309" w:name="_Toc265228369"/>
      <w:r/>
      <w:bookmarkStart w:id="310" w:name="_Toc226309775"/>
      <w:r/>
      <w:bookmarkStart w:id="311" w:name="_Toc151193629"/>
      <w:r/>
      <w:bookmarkStart w:id="312" w:name="_Toc151193773"/>
      <w:r/>
      <w:bookmarkStart w:id="313" w:name="_Toc149720824"/>
      <w:r/>
      <w:bookmarkStart w:id="314" w:name="_Toc151190158"/>
      <w:r>
        <w:rPr>
          <w:rFonts w:hint="eastAsia"/>
          <w:sz w:val="24"/>
          <w:lang w:val="en-US" w:eastAsia="zh-CN"/>
        </w:rPr>
        <w:t xml:space="preserve">11.5</w:t>
      </w:r>
      <w:r>
        <w:rPr>
          <w:rFonts w:hint="default"/>
          <w:sz w:val="24"/>
        </w:rPr>
        <w:t xml:space="preserve">评审过程中出现下列情形之一的，评审</w:t>
      </w:r>
      <w:r>
        <w:rPr>
          <w:rFonts w:hint="eastAsia"/>
          <w:sz w:val="24"/>
        </w:rPr>
        <w:t xml:space="preserve">小组</w:t>
      </w:r>
      <w:r>
        <w:rPr>
          <w:rFonts w:hint="default"/>
          <w:sz w:val="24"/>
        </w:rPr>
        <w:t xml:space="preserve">应当动异常低价响应审查程序：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11.5.1投标</w:t>
      </w:r>
      <w:r>
        <w:rPr>
          <w:rFonts w:hint="default"/>
          <w:sz w:val="24"/>
        </w:rPr>
        <w:t xml:space="preserve">报价低于采购项目预算50%的，即</w:t>
      </w:r>
      <w:r>
        <w:rPr>
          <w:rFonts w:hint="eastAsia"/>
          <w:sz w:val="24"/>
          <w:lang w:val="en-US" w:eastAsia="zh-CN"/>
        </w:rPr>
        <w:t xml:space="preserve">投标</w:t>
      </w:r>
      <w:r>
        <w:rPr>
          <w:rFonts w:hint="default"/>
          <w:sz w:val="24"/>
        </w:rPr>
        <w:t xml:space="preserve">报价&lt;采购项目预算×50%；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11.5.2投标</w:t>
      </w:r>
      <w:r>
        <w:rPr>
          <w:rFonts w:hint="default"/>
          <w:sz w:val="24"/>
        </w:rPr>
        <w:t xml:space="preserve">报价低于采购项目最高限价45%的，即</w:t>
      </w:r>
      <w:r>
        <w:rPr>
          <w:rFonts w:hint="eastAsia"/>
          <w:sz w:val="24"/>
          <w:lang w:val="en-US" w:eastAsia="zh-CN"/>
        </w:rPr>
        <w:t xml:space="preserve">投标</w:t>
      </w:r>
      <w:r>
        <w:rPr>
          <w:rFonts w:hint="default"/>
          <w:sz w:val="24"/>
        </w:rPr>
        <w:t xml:space="preserve">报价&lt;采购项目最高限价×45%； </w:t>
      </w:r>
      <w:r/>
    </w:p>
    <w:p>
      <w:pPr>
        <w:numPr>
          <w:ilvl w:val="0"/>
          <w:numId w:val="0"/>
        </w:numPr>
        <w:ind w:left="357"/>
        <w:spacing w:line="360" w:lineRule="auto"/>
        <w:tabs>
          <w:tab w:val="left" w:pos="1080" w:leader="none"/>
          <w:tab w:val="left" w:pos="2014" w:leader="none"/>
        </w:tabs>
        <w:rPr>
          <w:rFonts w:hint="default"/>
          <w:sz w:val="24"/>
        </w:rPr>
      </w:pPr>
      <w:r>
        <w:rPr>
          <w:rFonts w:hint="eastAsia"/>
          <w:sz w:val="24"/>
          <w:lang w:val="en-US" w:eastAsia="zh-CN"/>
        </w:rPr>
        <w:t xml:space="preserve">11.5.3评审</w:t>
      </w:r>
      <w:r>
        <w:rPr>
          <w:rFonts w:hint="eastAsia"/>
          <w:sz w:val="24"/>
        </w:rPr>
        <w:t xml:space="preserve">小组</w:t>
      </w:r>
      <w:r>
        <w:rPr>
          <w:rFonts w:hint="default"/>
          <w:sz w:val="24"/>
        </w:rPr>
        <w:t xml:space="preserve">认定的</w:t>
      </w:r>
      <w:r>
        <w:rPr>
          <w:rFonts w:hint="eastAsia"/>
          <w:sz w:val="24"/>
          <w:lang w:val="en-US" w:eastAsia="zh-CN"/>
        </w:rPr>
        <w:t xml:space="preserve">投标人</w:t>
      </w:r>
      <w:r>
        <w:rPr>
          <w:rFonts w:hint="default"/>
          <w:sz w:val="24"/>
        </w:rPr>
        <w:t xml:space="preserve">报价过低、有可能影响产品质量或者不能诚信履约的其他情形。 </w:t>
      </w:r>
      <w:r/>
    </w:p>
    <w:p>
      <w:pPr>
        <w:numPr>
          <w:ilvl w:val="0"/>
          <w:numId w:val="0"/>
        </w:numPr>
        <w:ind w:left="357"/>
        <w:spacing w:line="360" w:lineRule="auto"/>
        <w:tabs>
          <w:tab w:val="left" w:pos="1080" w:leader="none"/>
          <w:tab w:val="left" w:pos="2014" w:leader="none"/>
        </w:tabs>
        <w:rPr>
          <w:rFonts w:hint="eastAsia"/>
          <w:sz w:val="24"/>
        </w:rPr>
      </w:pPr>
      <w:r>
        <w:rPr>
          <w:rFonts w:hint="eastAsia"/>
          <w:sz w:val="24"/>
          <w:lang w:val="en-US" w:eastAsia="zh-CN"/>
        </w:rPr>
        <w:t xml:space="preserve">11.6</w:t>
      </w:r>
      <w:r>
        <w:rPr>
          <w:rFonts w:hint="default"/>
          <w:sz w:val="24"/>
        </w:rPr>
        <w:t xml:space="preserve">启动异常低价响应审查后</w:t>
      </w:r>
      <w:r>
        <w:rPr>
          <w:rFonts w:hint="eastAsia"/>
          <w:sz w:val="24"/>
          <w:lang w:eastAsia="zh-CN"/>
        </w:rPr>
        <w:t xml:space="preserve">，</w:t>
      </w:r>
      <w:r>
        <w:rPr>
          <w:rFonts w:hint="eastAsia"/>
          <w:sz w:val="24"/>
          <w:lang w:val="en-US" w:eastAsia="zh-CN"/>
        </w:rPr>
        <w:t xml:space="preserve">评审</w:t>
      </w:r>
      <w:r>
        <w:rPr>
          <w:rFonts w:hint="eastAsia"/>
          <w:sz w:val="24"/>
        </w:rPr>
        <w:t xml:space="preserve">小组</w:t>
      </w:r>
      <w:r>
        <w:rPr>
          <w:rFonts w:hint="default"/>
          <w:sz w:val="24"/>
        </w:rPr>
        <w:t xml:space="preserve">应当要求相关</w:t>
      </w:r>
      <w:r>
        <w:rPr>
          <w:rFonts w:hint="eastAsia"/>
          <w:sz w:val="24"/>
          <w:lang w:val="en-US" w:eastAsia="zh-CN"/>
        </w:rPr>
        <w:t xml:space="preserve">投标人</w:t>
      </w:r>
      <w:r>
        <w:rPr>
          <w:rFonts w:hint="default"/>
          <w:sz w:val="24"/>
        </w:rPr>
        <w:t xml:space="preserve">在</w:t>
      </w:r>
      <w:r>
        <w:rPr>
          <w:rFonts w:hint="eastAsia"/>
          <w:sz w:val="24"/>
          <w:lang w:val="en-US" w:eastAsia="zh-CN"/>
        </w:rPr>
        <w:t xml:space="preserve">评审</w:t>
      </w:r>
      <w:r>
        <w:rPr>
          <w:rFonts w:hint="eastAsia"/>
          <w:sz w:val="24"/>
        </w:rPr>
        <w:t xml:space="preserve">小组</w:t>
      </w:r>
      <w:r>
        <w:rPr>
          <w:rFonts w:hint="eastAsia"/>
          <w:sz w:val="24"/>
          <w:lang w:val="en-US" w:eastAsia="zh-CN"/>
        </w:rPr>
        <w:t xml:space="preserve">规定</w:t>
      </w:r>
      <w:r>
        <w:rPr>
          <w:rFonts w:hint="default"/>
          <w:sz w:val="24"/>
        </w:rPr>
        <w:t xml:space="preserve">的时间内，提供项目具体成本测算等与报价合理性相关的书面说明及相关证明材料，对</w:t>
      </w:r>
      <w:r>
        <w:rPr>
          <w:rFonts w:hint="eastAsia"/>
          <w:sz w:val="24"/>
          <w:lang w:val="en-US" w:eastAsia="zh-CN"/>
        </w:rPr>
        <w:t xml:space="preserve">投标</w:t>
      </w:r>
      <w:r>
        <w:rPr>
          <w:rFonts w:hint="default"/>
          <w:sz w:val="24"/>
        </w:rPr>
        <w:t xml:space="preserve">价格作出解释，由</w:t>
      </w:r>
      <w:r>
        <w:rPr>
          <w:rFonts w:hint="eastAsia"/>
          <w:sz w:val="24"/>
          <w:lang w:val="en-US" w:eastAsia="zh-CN"/>
        </w:rPr>
        <w:t xml:space="preserve">评审</w:t>
      </w:r>
      <w:r>
        <w:rPr>
          <w:rFonts w:hint="eastAsia"/>
          <w:sz w:val="24"/>
        </w:rPr>
        <w:t xml:space="preserve">小组</w:t>
      </w:r>
      <w:r>
        <w:rPr>
          <w:rFonts w:hint="default"/>
          <w:sz w:val="24"/>
        </w:rPr>
        <w:t xml:space="preserve">结合同类产品在主要电商平台的价格、该行业当地薪资水平等情况，依据专业经验对</w:t>
      </w:r>
      <w:r>
        <w:rPr>
          <w:rFonts w:hint="eastAsia"/>
          <w:sz w:val="24"/>
          <w:lang w:val="en-US" w:eastAsia="zh-CN"/>
        </w:rPr>
        <w:t xml:space="preserve">投标人</w:t>
      </w:r>
      <w:r>
        <w:rPr>
          <w:rFonts w:hint="default"/>
          <w:sz w:val="24"/>
        </w:rPr>
        <w:t xml:space="preserve">报价合理性进行判断。</w:t>
      </w:r>
      <w:r>
        <w:rPr>
          <w:rFonts w:hint="eastAsia"/>
          <w:sz w:val="24"/>
          <w:lang w:val="en-US" w:eastAsia="zh-CN"/>
        </w:rPr>
        <w:t xml:space="preserve">投标人</w:t>
      </w:r>
      <w:r>
        <w:rPr>
          <w:rFonts w:hint="default"/>
          <w:sz w:val="24"/>
        </w:rPr>
        <w:t xml:space="preserve">不提供书面说明、证明材料，或者提供的书面说明、证明材料不能证明其报价合理性的，</w:t>
      </w:r>
      <w:r>
        <w:rPr>
          <w:rFonts w:hint="eastAsia"/>
          <w:sz w:val="24"/>
          <w:lang w:val="en-US" w:eastAsia="zh-CN"/>
        </w:rPr>
        <w:t xml:space="preserve">评审</w:t>
      </w:r>
      <w:r>
        <w:rPr>
          <w:rFonts w:hint="eastAsia"/>
          <w:sz w:val="24"/>
        </w:rPr>
        <w:t xml:space="preserve">小组</w:t>
      </w:r>
      <w:r>
        <w:rPr>
          <w:rFonts w:hint="default"/>
          <w:sz w:val="24"/>
        </w:rPr>
        <w:t xml:space="preserve">应当将其作为无效响应处理。审查相关情况应当在评审报告中进行记录。</w:t>
      </w:r>
      <w:r/>
    </w:p>
    <w:p>
      <w:pPr>
        <w:numPr>
          <w:ilvl w:val="0"/>
          <w:numId w:val="8"/>
        </w:numPr>
        <w:ind w:left="357" w:hanging="357"/>
        <w:spacing w:line="360" w:lineRule="auto"/>
        <w:tabs>
          <w:tab w:val="left" w:pos="360" w:leader="none"/>
        </w:tabs>
        <w:rPr>
          <w:sz w:val="24"/>
        </w:rPr>
        <w:outlineLvl w:val="1"/>
      </w:pPr>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8"/>
        </w:numPr>
        <w:ind w:left="357" w:hanging="357"/>
        <w:spacing w:line="360" w:lineRule="auto"/>
        <w:tabs>
          <w:tab w:val="left" w:pos="360" w:leader="none"/>
        </w:tabs>
        <w:rPr>
          <w:sz w:val="24"/>
        </w:rPr>
        <w:outlineLvl w:val="1"/>
      </w:pPr>
      <w:r/>
      <w:bookmarkStart w:id="315" w:name="_Toc264969222"/>
      <w:r/>
      <w:bookmarkStart w:id="316" w:name="_Toc164608646"/>
      <w:r/>
      <w:bookmarkStart w:id="317" w:name="_Toc151193846"/>
      <w:r/>
      <w:bookmarkStart w:id="318" w:name="_Toc151193774"/>
      <w:r/>
      <w:bookmarkStart w:id="319" w:name="_Toc305158874"/>
      <w:r/>
      <w:bookmarkStart w:id="320" w:name="_Toc151193630"/>
      <w:r/>
      <w:bookmarkStart w:id="321" w:name="_Toc150774632"/>
      <w:r/>
      <w:bookmarkStart w:id="322" w:name="_Toc265228370"/>
      <w:r/>
      <w:bookmarkStart w:id="323" w:name="_Toc226965805"/>
      <w:r/>
      <w:bookmarkStart w:id="324" w:name="_Toc150774737"/>
      <w:r/>
      <w:bookmarkStart w:id="325" w:name="_Toc164229373"/>
      <w:r/>
      <w:bookmarkStart w:id="326" w:name="_Toc520356157"/>
      <w:r/>
      <w:bookmarkStart w:id="327" w:name="_Toc164229227"/>
      <w:r/>
      <w:bookmarkStart w:id="328" w:name="_Toc127161446"/>
      <w:r/>
      <w:bookmarkStart w:id="329" w:name="_Toc149720825"/>
      <w:r/>
      <w:bookmarkStart w:id="330" w:name="_Toc151190159"/>
      <w:r/>
      <w:bookmarkStart w:id="331" w:name="_Toc164351626"/>
      <w:r/>
      <w:bookmarkStart w:id="332" w:name="_Toc151193702"/>
      <w:r/>
      <w:bookmarkStart w:id="333" w:name="_Toc151193920"/>
      <w:r/>
      <w:bookmarkStart w:id="334" w:name="_Toc226965722"/>
      <w:r/>
      <w:bookmarkStart w:id="335" w:name="_Toc195842897"/>
      <w:r/>
      <w:bookmarkStart w:id="336" w:name="_Toc305158800"/>
      <w:r/>
      <w:bookmarkStart w:id="337" w:name="_Toc142311034"/>
      <w:r/>
      <w:bookmarkStart w:id="338" w:name="_Toc226337228"/>
      <w:r/>
      <w:bookmarkStart w:id="339" w:name="_Toc150480770"/>
      <w:r/>
      <w:bookmarkStart w:id="340" w:name="_Toc127151733"/>
      <w:r/>
      <w:bookmarkStart w:id="341" w:name="_Toc127151532"/>
      <w:r/>
      <w:bookmarkStart w:id="342" w:name="_Toc150509283"/>
      <w:r/>
      <w:bookmarkStart w:id="343" w:name="_Toc164608801"/>
      <w:r/>
      <w:bookmarkStart w:id="344" w:name="_Toc226309776"/>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345" w:name="_Toc195842898"/>
      <w:r/>
      <w:bookmarkStart w:id="346" w:name="_Toc151193631"/>
      <w:r/>
      <w:bookmarkStart w:id="347" w:name="_Toc150774738"/>
      <w:r/>
      <w:bookmarkStart w:id="348" w:name="_Toc164351627"/>
      <w:r/>
      <w:bookmarkStart w:id="349" w:name="_Toc151190160"/>
      <w:r/>
      <w:bookmarkStart w:id="350" w:name="_Toc164608647"/>
      <w:r/>
      <w:bookmarkStart w:id="351" w:name="_Toc151193703"/>
      <w:r/>
      <w:bookmarkStart w:id="352" w:name="_Toc127161447"/>
      <w:r/>
      <w:bookmarkStart w:id="353" w:name="_Toc150480771"/>
      <w:r/>
      <w:bookmarkStart w:id="354" w:name="_Toc305158801"/>
      <w:r/>
      <w:bookmarkStart w:id="355" w:name="_Toc264969223"/>
      <w:r/>
      <w:bookmarkStart w:id="356" w:name="_Toc149720826"/>
      <w:r/>
      <w:bookmarkStart w:id="357" w:name="_Toc226965806"/>
      <w:r/>
      <w:bookmarkStart w:id="358" w:name="_Toc127151734"/>
      <w:r/>
      <w:bookmarkStart w:id="359" w:name="_Toc226965723"/>
      <w:r/>
      <w:bookmarkStart w:id="360" w:name="_Toc305158875"/>
      <w:r/>
      <w:bookmarkStart w:id="361" w:name="_Toc151193847"/>
      <w:r/>
      <w:bookmarkStart w:id="362" w:name="_Toc226309777"/>
      <w:r/>
      <w:bookmarkStart w:id="363" w:name="_Toc150509284"/>
      <w:r/>
      <w:bookmarkStart w:id="364" w:name="_Toc164608802"/>
      <w:r/>
      <w:bookmarkStart w:id="365" w:name="_Toc151193921"/>
      <w:r/>
      <w:bookmarkStart w:id="366" w:name="_Toc142311035"/>
      <w:r/>
      <w:bookmarkStart w:id="367" w:name="_Toc151193775"/>
      <w:r/>
      <w:bookmarkStart w:id="368" w:name="_Toc164229374"/>
      <w:r/>
      <w:bookmarkStart w:id="369" w:name="_Toc520356158"/>
      <w:r/>
      <w:bookmarkStart w:id="370" w:name="_Toc127151533"/>
      <w:r/>
      <w:bookmarkStart w:id="371" w:name="_Toc265228371"/>
      <w:r/>
      <w:bookmarkStart w:id="372" w:name="_Toc226337229"/>
      <w:r/>
      <w:bookmarkStart w:id="373" w:name="_Toc150774633"/>
      <w:r/>
      <w:bookmarkStart w:id="374" w:name="_Toc164229228"/>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hanging="720"/>
        <w:spacing w:line="360" w:lineRule="auto"/>
        <w:tabs>
          <w:tab w:val="left" w:pos="1080" w:leader="none"/>
          <w:tab w:val="left" w:pos="2014" w:leader="none"/>
        </w:tabs>
        <w:rPr>
          <w:sz w:val="24"/>
        </w:rPr>
      </w:pPr>
      <w:r/>
      <w:bookmarkStart w:id="375" w:name="_Toc226337230"/>
      <w:r/>
      <w:bookmarkStart w:id="376" w:name="_Toc151190161"/>
      <w:r/>
      <w:bookmarkStart w:id="377" w:name="_Toc151193922"/>
      <w:r/>
      <w:bookmarkStart w:id="378" w:name="_Toc127151534"/>
      <w:r/>
      <w:bookmarkStart w:id="379" w:name="_Toc195842899"/>
      <w:r/>
      <w:bookmarkStart w:id="380" w:name="_Toc226965724"/>
      <w:r/>
      <w:bookmarkStart w:id="381" w:name="_Toc264969224"/>
      <w:r/>
      <w:bookmarkStart w:id="382" w:name="_Toc520356159"/>
      <w:r/>
      <w:bookmarkStart w:id="383" w:name="_Toc151193848"/>
      <w:r/>
      <w:bookmarkStart w:id="384" w:name="_Toc305158876"/>
      <w:r/>
      <w:bookmarkStart w:id="385" w:name="_Toc150774739"/>
      <w:r/>
      <w:bookmarkStart w:id="386" w:name="_Toc142311036"/>
      <w:r/>
      <w:bookmarkStart w:id="387" w:name="_Toc265228372"/>
      <w:r/>
      <w:bookmarkStart w:id="388" w:name="_Toc151193704"/>
      <w:r/>
      <w:bookmarkStart w:id="389" w:name="_Toc151193776"/>
      <w:r/>
      <w:bookmarkStart w:id="390" w:name="_Toc226309778"/>
      <w:r/>
      <w:bookmarkStart w:id="391" w:name="_Toc305158802"/>
      <w:r/>
      <w:bookmarkStart w:id="392" w:name="_Toc150509285"/>
      <w:r/>
      <w:bookmarkStart w:id="393" w:name="_Toc150480772"/>
      <w:r/>
      <w:bookmarkStart w:id="394" w:name="_Toc150774634"/>
      <w:r/>
      <w:bookmarkStart w:id="395" w:name="_Toc226965807"/>
      <w:r/>
      <w:bookmarkStart w:id="396" w:name="_Toc15119363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2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hanging="357"/>
        <w:spacing w:line="360" w:lineRule="auto"/>
        <w:tabs>
          <w:tab w:val="left" w:pos="360" w:leader="none"/>
        </w:tabs>
        <w:rPr>
          <w:sz w:val="24"/>
        </w:rPr>
        <w:outlineLvl w:val="1"/>
      </w:pPr>
      <w:r/>
      <w:bookmarkStart w:id="397" w:name="_Toc305158877"/>
      <w:r/>
      <w:bookmarkStart w:id="398" w:name="_Toc142311037"/>
      <w:r/>
      <w:bookmarkStart w:id="399" w:name="_Toc151190162"/>
      <w:r/>
      <w:bookmarkStart w:id="400" w:name="_Toc264969225"/>
      <w:r/>
      <w:bookmarkStart w:id="401" w:name="_Toc195842900"/>
      <w:r/>
      <w:bookmarkStart w:id="402" w:name="_Toc150480773"/>
      <w:r/>
      <w:bookmarkStart w:id="403" w:name="_Toc164608804"/>
      <w:r/>
      <w:bookmarkStart w:id="404" w:name="_Toc150774635"/>
      <w:r/>
      <w:bookmarkStart w:id="405" w:name="_Toc150774740"/>
      <w:r/>
      <w:bookmarkStart w:id="406" w:name="_Toc226965725"/>
      <w:r/>
      <w:bookmarkStart w:id="407" w:name="_Toc151193705"/>
      <w:r/>
      <w:bookmarkStart w:id="408" w:name="_Toc226309779"/>
      <w:r/>
      <w:bookmarkStart w:id="409" w:name="_Toc150509286"/>
      <w:r/>
      <w:bookmarkStart w:id="410" w:name="_Toc149720828"/>
      <w:r/>
      <w:bookmarkStart w:id="411" w:name="_Toc151193633"/>
      <w:r/>
      <w:bookmarkStart w:id="412" w:name="_Toc151193849"/>
      <w:r/>
      <w:bookmarkStart w:id="413" w:name="_Toc127161449"/>
      <w:r/>
      <w:bookmarkStart w:id="414" w:name="_Toc265228373"/>
      <w:r/>
      <w:bookmarkStart w:id="415" w:name="_Toc164608649"/>
      <w:r/>
      <w:bookmarkStart w:id="416" w:name="_Toc164351629"/>
      <w:r/>
      <w:bookmarkStart w:id="417" w:name="_Toc127151535"/>
      <w:r/>
      <w:bookmarkStart w:id="418" w:name="_Toc151193923"/>
      <w:r/>
      <w:bookmarkStart w:id="419" w:name="_Toc151193777"/>
      <w:r/>
      <w:bookmarkStart w:id="420" w:name="_Toc226337231"/>
      <w:r/>
      <w:bookmarkStart w:id="421" w:name="_Toc164229230"/>
      <w:r/>
      <w:bookmarkStart w:id="422" w:name="_Toc127151736"/>
      <w:r/>
      <w:bookmarkStart w:id="423" w:name="_Toc164229376"/>
      <w:r/>
      <w:bookmarkStart w:id="424" w:name="_Toc226965808"/>
      <w:r/>
      <w:bookmarkStart w:id="425" w:name="_Toc305158803"/>
      <w:r/>
      <w:bookmarkStart w:id="426" w:name="_Toc520356160"/>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hanging="357"/>
        <w:spacing w:line="360" w:lineRule="auto"/>
        <w:tabs>
          <w:tab w:val="left" w:pos="360" w:leader="none"/>
        </w:tabs>
        <w:rPr>
          <w:sz w:val="24"/>
        </w:rPr>
        <w:outlineLvl w:val="1"/>
      </w:pPr>
      <w:r/>
      <w:bookmarkStart w:id="427" w:name="_Toc142311038"/>
      <w:r/>
      <w:bookmarkStart w:id="428" w:name="_Toc151193706"/>
      <w:r/>
      <w:bookmarkStart w:id="429" w:name="_Toc195842901"/>
      <w:r/>
      <w:bookmarkStart w:id="430" w:name="_Toc226309780"/>
      <w:r/>
      <w:bookmarkStart w:id="431" w:name="_Toc164608650"/>
      <w:r/>
      <w:bookmarkStart w:id="432" w:name="_Toc226965809"/>
      <w:r/>
      <w:bookmarkStart w:id="433" w:name="_Toc305158878"/>
      <w:r/>
      <w:bookmarkStart w:id="434" w:name="_Toc127151536"/>
      <w:r/>
      <w:bookmarkStart w:id="435" w:name="_Toc164229231"/>
      <w:r/>
      <w:bookmarkStart w:id="436" w:name="_Toc151193850"/>
      <w:r/>
      <w:bookmarkStart w:id="437" w:name="_Toc151193924"/>
      <w:r/>
      <w:bookmarkStart w:id="438" w:name="_Toc127151737"/>
      <w:r/>
      <w:bookmarkStart w:id="439" w:name="_Toc520356161"/>
      <w:r/>
      <w:bookmarkStart w:id="440" w:name="_Toc150509287"/>
      <w:r/>
      <w:bookmarkStart w:id="441" w:name="_Toc226965726"/>
      <w:r/>
      <w:bookmarkStart w:id="442" w:name="_Toc264969226"/>
      <w:r/>
      <w:bookmarkStart w:id="443" w:name="_Toc150480774"/>
      <w:r/>
      <w:bookmarkStart w:id="444" w:name="_Toc164229377"/>
      <w:r/>
      <w:bookmarkStart w:id="445" w:name="_Toc164351630"/>
      <w:r/>
      <w:bookmarkStart w:id="446" w:name="_Toc151190163"/>
      <w:r/>
      <w:bookmarkStart w:id="447" w:name="_Toc164608805"/>
      <w:r/>
      <w:bookmarkStart w:id="448" w:name="_Toc150774741"/>
      <w:r/>
      <w:bookmarkStart w:id="449" w:name="_Toc151193778"/>
      <w:r/>
      <w:bookmarkStart w:id="450" w:name="_Toc150774636"/>
      <w:r/>
      <w:bookmarkStart w:id="451" w:name="_Toc127161450"/>
      <w:r/>
      <w:bookmarkStart w:id="452" w:name="_Toc149720829"/>
      <w:r/>
      <w:bookmarkStart w:id="453" w:name="_Toc151193634"/>
      <w:r/>
      <w:bookmarkStart w:id="454" w:name="_Toc226337232"/>
      <w:r/>
      <w:bookmarkStart w:id="455" w:name="_Toc305158804"/>
      <w:r/>
      <w:bookmarkStart w:id="456" w:name="_Toc265228374"/>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hanging="357"/>
        <w:spacing w:line="360" w:lineRule="auto"/>
        <w:tabs>
          <w:tab w:val="left" w:pos="360" w:leader="none"/>
        </w:tabs>
        <w:rPr>
          <w:sz w:val="24"/>
        </w:rPr>
        <w:outlineLvl w:val="1"/>
      </w:pPr>
      <w:r/>
      <w:bookmarkStart w:id="457" w:name="_Toc151193851"/>
      <w:r/>
      <w:bookmarkStart w:id="458" w:name="_Toc150774742"/>
      <w:r/>
      <w:bookmarkStart w:id="459" w:name="_Toc151193925"/>
      <w:r/>
      <w:bookmarkStart w:id="460" w:name="_Toc164351631"/>
      <w:r/>
      <w:bookmarkStart w:id="461" w:name="_Toc142311039"/>
      <w:r/>
      <w:bookmarkStart w:id="462" w:name="_Toc226965810"/>
      <w:r/>
      <w:bookmarkStart w:id="463" w:name="_Toc164608651"/>
      <w:r/>
      <w:bookmarkStart w:id="464" w:name="_Toc164229232"/>
      <w:r/>
      <w:bookmarkStart w:id="465" w:name="_Toc305158879"/>
      <w:r/>
      <w:bookmarkStart w:id="466" w:name="_Toc305158805"/>
      <w:r/>
      <w:bookmarkStart w:id="467" w:name="_Toc151190164"/>
      <w:r/>
      <w:bookmarkStart w:id="468" w:name="_Toc226965727"/>
      <w:r/>
      <w:bookmarkStart w:id="469" w:name="_Toc265228375"/>
      <w:r/>
      <w:bookmarkStart w:id="470" w:name="_Toc164229378"/>
      <w:r/>
      <w:bookmarkStart w:id="471" w:name="_Toc151193635"/>
      <w:r/>
      <w:bookmarkStart w:id="472" w:name="_Toc264969227"/>
      <w:r/>
      <w:bookmarkStart w:id="473" w:name="_Toc127151537"/>
      <w:r/>
      <w:bookmarkStart w:id="474" w:name="_Toc150509288"/>
      <w:r/>
      <w:bookmarkStart w:id="475" w:name="_Toc151193779"/>
      <w:r/>
      <w:bookmarkStart w:id="476" w:name="_Toc150774637"/>
      <w:r/>
      <w:bookmarkStart w:id="477" w:name="_Toc150480775"/>
      <w:r/>
      <w:bookmarkStart w:id="478" w:name="_Toc195842902"/>
      <w:r/>
      <w:bookmarkStart w:id="479" w:name="_Toc520356162"/>
      <w:r/>
      <w:bookmarkStart w:id="480" w:name="_Toc127151738"/>
      <w:r/>
      <w:bookmarkStart w:id="481" w:name="_Toc127161451"/>
      <w:r/>
      <w:bookmarkStart w:id="482" w:name="_Toc151193707"/>
      <w:r/>
      <w:bookmarkStart w:id="483" w:name="_Toc164608806"/>
      <w:r/>
      <w:bookmarkStart w:id="484" w:name="_Toc149720830"/>
      <w:r/>
      <w:bookmarkStart w:id="485" w:name="_Toc226309781"/>
      <w:r/>
      <w:bookmarkStart w:id="486" w:name="_Toc226337233"/>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27"/>
        <w:spacing w:before="0" w:line="360" w:lineRule="auto"/>
        <w:rPr>
          <w:rFonts w:ascii="Times New Roman" w:hAnsi="Times New Roman" w:eastAsia="宋体"/>
          <w:sz w:val="28"/>
        </w:rPr>
      </w:pPr>
      <w:r/>
      <w:bookmarkStart w:id="487" w:name="_Toc226337234"/>
      <w:r/>
      <w:bookmarkStart w:id="488" w:name="_Toc151190165"/>
      <w:r/>
      <w:bookmarkStart w:id="489" w:name="_Toc226309782"/>
      <w:r/>
      <w:bookmarkStart w:id="490" w:name="_Toc264969228"/>
      <w:r/>
      <w:bookmarkStart w:id="491" w:name="_Toc151193636"/>
      <w:r/>
      <w:bookmarkStart w:id="492" w:name="_Toc150480776"/>
      <w:r/>
      <w:bookmarkStart w:id="493" w:name="_Toc265228376"/>
      <w:r/>
      <w:bookmarkStart w:id="494" w:name="_Toc151193926"/>
      <w:r/>
      <w:bookmarkStart w:id="495" w:name="_Toc305158806"/>
      <w:r/>
      <w:bookmarkStart w:id="496" w:name="_Toc226965811"/>
      <w:r/>
      <w:bookmarkStart w:id="497" w:name="_Toc195842903"/>
      <w:r/>
      <w:bookmarkStart w:id="498" w:name="_Toc142311040"/>
      <w:r/>
      <w:bookmarkStart w:id="499" w:name="_Toc151193708"/>
      <w:r/>
      <w:bookmarkStart w:id="500" w:name="_Toc305158880"/>
      <w:r/>
      <w:bookmarkStart w:id="501" w:name="_Toc520356163"/>
      <w:r/>
      <w:bookmarkStart w:id="502" w:name="_Toc151193780"/>
      <w:r/>
      <w:bookmarkStart w:id="503" w:name="_Toc150774638"/>
      <w:r/>
      <w:bookmarkStart w:id="504" w:name="_Toc226965728"/>
      <w:r/>
      <w:bookmarkStart w:id="505" w:name="_Toc150774743"/>
      <w:r/>
      <w:bookmarkStart w:id="506" w:name="_Toc127151538"/>
      <w:r/>
      <w:bookmarkStart w:id="507" w:name="_Toc151193852"/>
      <w:r/>
      <w:bookmarkStart w:id="508" w:name="_Toc150509289"/>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hanging="357"/>
        <w:spacing w:line="360" w:lineRule="auto"/>
        <w:tabs>
          <w:tab w:val="left" w:pos="360" w:leader="none"/>
        </w:tabs>
        <w:rPr>
          <w:sz w:val="24"/>
        </w:rPr>
        <w:outlineLvl w:val="1"/>
      </w:pPr>
      <w:r/>
      <w:bookmarkStart w:id="509" w:name="_Toc226965729"/>
      <w:r/>
      <w:bookmarkStart w:id="510" w:name="_Toc305158881"/>
      <w:r/>
      <w:bookmarkStart w:id="511" w:name="_Toc127151539"/>
      <w:r/>
      <w:bookmarkStart w:id="512" w:name="_Toc226309783"/>
      <w:r/>
      <w:bookmarkStart w:id="513" w:name="_Toc164229380"/>
      <w:r/>
      <w:bookmarkStart w:id="514" w:name="_Toc142311041"/>
      <w:r/>
      <w:bookmarkStart w:id="515" w:name="_Toc150774639"/>
      <w:r/>
      <w:bookmarkStart w:id="516" w:name="_Toc164608653"/>
      <w:r/>
      <w:bookmarkStart w:id="517" w:name="_Toc151193709"/>
      <w:r/>
      <w:bookmarkStart w:id="518" w:name="_Toc151193853"/>
      <w:r/>
      <w:bookmarkStart w:id="519" w:name="_Toc150509290"/>
      <w:r/>
      <w:bookmarkStart w:id="520" w:name="_Toc151190166"/>
      <w:r/>
      <w:bookmarkStart w:id="521" w:name="_Toc151193637"/>
      <w:r/>
      <w:bookmarkStart w:id="522" w:name="_Toc164229234"/>
      <w:r/>
      <w:bookmarkStart w:id="523" w:name="_Toc164608808"/>
      <w:r/>
      <w:bookmarkStart w:id="524" w:name="_Toc226965812"/>
      <w:r/>
      <w:bookmarkStart w:id="525" w:name="_Toc127161453"/>
      <w:r/>
      <w:bookmarkStart w:id="526" w:name="_Toc264969229"/>
      <w:r/>
      <w:bookmarkStart w:id="527" w:name="_Toc520356164"/>
      <w:r/>
      <w:bookmarkStart w:id="528" w:name="_Toc150774744"/>
      <w:r/>
      <w:bookmarkStart w:id="529" w:name="_Toc164351633"/>
      <w:r/>
      <w:bookmarkStart w:id="530" w:name="_Toc265228377"/>
      <w:r/>
      <w:bookmarkStart w:id="531" w:name="_Toc127151740"/>
      <w:r/>
      <w:bookmarkStart w:id="532" w:name="_Toc226337235"/>
      <w:r/>
      <w:bookmarkStart w:id="533" w:name="_Toc305158807"/>
      <w:r/>
      <w:bookmarkStart w:id="534" w:name="_Toc150480777"/>
      <w:r/>
      <w:bookmarkStart w:id="535" w:name="_Toc151193781"/>
      <w:r/>
      <w:bookmarkStart w:id="536" w:name="_Toc195842904"/>
      <w:r/>
      <w:bookmarkStart w:id="537" w:name="_Toc149720832"/>
      <w:r/>
      <w:bookmarkStart w:id="538" w:name="_Toc151193927"/>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8"/>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hanging="357"/>
        <w:spacing w:line="360" w:lineRule="auto"/>
        <w:tabs>
          <w:tab w:val="left" w:pos="360" w:leader="none"/>
        </w:tabs>
        <w:rPr>
          <w:sz w:val="24"/>
        </w:rPr>
        <w:outlineLvl w:val="1"/>
      </w:pPr>
      <w:r>
        <w:rPr>
          <w:sz w:val="24"/>
        </w:rPr>
        <w:t xml:space="preserve">资格审查</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见第三章《资格审查》。</w:t>
      </w:r>
      <w:bookmarkEnd w:id="539"/>
      <w:r/>
      <w:r/>
    </w:p>
    <w:p>
      <w:pPr>
        <w:numPr>
          <w:ilvl w:val="0"/>
          <w:numId w:val="8"/>
        </w:numPr>
        <w:ind w:left="357" w:hanging="357"/>
        <w:spacing w:line="360" w:lineRule="auto"/>
        <w:tabs>
          <w:tab w:val="left" w:pos="360" w:leader="none"/>
        </w:tabs>
        <w:rPr>
          <w:sz w:val="24"/>
        </w:rPr>
        <w:outlineLvl w:val="1"/>
      </w:pPr>
      <w:r/>
      <w:bookmarkStart w:id="540" w:name="_Toc151193638"/>
      <w:r/>
      <w:bookmarkStart w:id="541" w:name="_Toc164351634"/>
      <w:r/>
      <w:bookmarkStart w:id="542" w:name="_Toc150774745"/>
      <w:r/>
      <w:bookmarkStart w:id="543" w:name="_Toc164229235"/>
      <w:r/>
      <w:bookmarkStart w:id="544" w:name="_Toc151193782"/>
      <w:r/>
      <w:bookmarkStart w:id="545" w:name="_Toc195842905"/>
      <w:r/>
      <w:bookmarkStart w:id="546" w:name="_Toc150509291"/>
      <w:r/>
      <w:bookmarkStart w:id="547" w:name="_Toc226965730"/>
      <w:r/>
      <w:bookmarkStart w:id="548" w:name="_Toc150480778"/>
      <w:r/>
      <w:bookmarkStart w:id="549" w:name="_Toc142311042"/>
      <w:r/>
      <w:bookmarkStart w:id="550" w:name="_Toc305158882"/>
      <w:r/>
      <w:bookmarkStart w:id="551" w:name="_Toc164608654"/>
      <w:r/>
      <w:bookmarkStart w:id="552" w:name="_Toc150774640"/>
      <w:r/>
      <w:bookmarkStart w:id="553" w:name="_Toc151190167"/>
      <w:r/>
      <w:bookmarkStart w:id="554" w:name="_Toc164608809"/>
      <w:r/>
      <w:bookmarkStart w:id="555" w:name="_Toc226309784"/>
      <w:r/>
      <w:bookmarkStart w:id="556" w:name="_Toc127161454"/>
      <w:r/>
      <w:bookmarkStart w:id="557" w:name="_Toc226337236"/>
      <w:r/>
      <w:bookmarkStart w:id="558" w:name="_Toc151193854"/>
      <w:r/>
      <w:bookmarkStart w:id="559" w:name="_Toc264969230"/>
      <w:r/>
      <w:bookmarkStart w:id="560" w:name="_Toc127151540"/>
      <w:r/>
      <w:bookmarkStart w:id="561" w:name="_Toc226965813"/>
      <w:r/>
      <w:bookmarkStart w:id="562" w:name="_Toc164229381"/>
      <w:r/>
      <w:bookmarkStart w:id="563" w:name="_Toc265228378"/>
      <w:r/>
      <w:bookmarkStart w:id="564" w:name="_Toc149720833"/>
      <w:r/>
      <w:bookmarkStart w:id="565" w:name="_Toc127151741"/>
      <w:r/>
      <w:bookmarkStart w:id="566" w:name="_Toc151193928"/>
      <w:r/>
      <w:bookmarkStart w:id="567" w:name="_Toc151193710"/>
      <w:r/>
      <w:bookmarkStart w:id="568" w:name="_Toc305158808"/>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27"/>
        <w:spacing w:before="0" w:line="360" w:lineRule="auto"/>
        <w:rPr>
          <w:rFonts w:ascii="Times New Roman" w:hAnsi="Times New Roman" w:eastAsia="宋体"/>
          <w:sz w:val="28"/>
        </w:rPr>
      </w:pPr>
      <w:r/>
      <w:bookmarkStart w:id="571" w:name="_Toc151193859"/>
      <w:r/>
      <w:bookmarkStart w:id="572" w:name="_Toc265228383"/>
      <w:r/>
      <w:bookmarkStart w:id="573" w:name="_Toc226965735"/>
      <w:r/>
      <w:bookmarkStart w:id="574" w:name="_Toc151193933"/>
      <w:r/>
      <w:bookmarkStart w:id="575" w:name="_Toc226965818"/>
      <w:r/>
      <w:bookmarkStart w:id="576" w:name="_Toc151190172"/>
      <w:r/>
      <w:bookmarkStart w:id="577" w:name="_Toc142311047"/>
      <w:r/>
      <w:bookmarkStart w:id="578" w:name="_Toc264969235"/>
      <w:r/>
      <w:bookmarkStart w:id="579" w:name="_Toc195842910"/>
      <w:r/>
      <w:bookmarkStart w:id="580" w:name="_Toc127151545"/>
      <w:r/>
      <w:bookmarkStart w:id="581" w:name="_Toc305158813"/>
      <w:r/>
      <w:bookmarkStart w:id="582" w:name="_Toc305158887"/>
      <w:r/>
      <w:bookmarkStart w:id="583" w:name="_Toc150774750"/>
      <w:r/>
      <w:bookmarkStart w:id="584" w:name="_Toc226309789"/>
      <w:r/>
      <w:bookmarkStart w:id="585" w:name="_Toc151193715"/>
      <w:r/>
      <w:bookmarkStart w:id="586" w:name="_Toc150774645"/>
      <w:r/>
      <w:bookmarkStart w:id="587" w:name="_Toc151193787"/>
      <w:r/>
      <w:bookmarkStart w:id="588" w:name="_Toc226337241"/>
      <w:r/>
      <w:bookmarkStart w:id="589" w:name="_Toc150480783"/>
      <w:r/>
      <w:bookmarkStart w:id="590" w:name="_Toc151193643"/>
      <w:r/>
      <w:bookmarkStart w:id="591" w:name="_Toc150509296"/>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151190174"/>
      <w:r/>
      <w:bookmarkStart w:id="593" w:name="_Toc226965737"/>
      <w:r/>
      <w:bookmarkStart w:id="594" w:name="_Toc164608816"/>
      <w:r/>
      <w:bookmarkStart w:id="595" w:name="_Toc226337243"/>
      <w:r/>
      <w:bookmarkStart w:id="596" w:name="_Toc226309791"/>
      <w:r/>
      <w:bookmarkStart w:id="597" w:name="_Toc142311049"/>
      <w:r/>
      <w:bookmarkStart w:id="598" w:name="_Toc150774752"/>
      <w:r/>
      <w:bookmarkStart w:id="599" w:name="_Toc151193789"/>
      <w:r/>
      <w:bookmarkStart w:id="600" w:name="_Toc127161461"/>
      <w:r/>
      <w:bookmarkStart w:id="601" w:name="_Toc164229388"/>
      <w:r/>
      <w:bookmarkStart w:id="602" w:name="_Toc265228385"/>
      <w:r/>
      <w:bookmarkStart w:id="603" w:name="_Toc305158889"/>
      <w:r/>
      <w:bookmarkStart w:id="604" w:name="_Toc164351641"/>
      <w:r/>
      <w:bookmarkStart w:id="605" w:name="_Toc151193935"/>
      <w:r/>
      <w:bookmarkStart w:id="606" w:name="_Toc149720840"/>
      <w:r/>
      <w:bookmarkStart w:id="607" w:name="_Toc305158815"/>
      <w:r/>
      <w:bookmarkStart w:id="608" w:name="_Toc150774647"/>
      <w:r/>
      <w:bookmarkStart w:id="609" w:name="_Toc127151547"/>
      <w:r/>
      <w:bookmarkStart w:id="610" w:name="_Toc151193717"/>
      <w:r/>
      <w:bookmarkStart w:id="611" w:name="_Toc264969237"/>
      <w:r/>
      <w:bookmarkStart w:id="612" w:name="_Toc164608661"/>
      <w:r/>
      <w:bookmarkStart w:id="613" w:name="_Toc151193645"/>
      <w:r/>
      <w:bookmarkStart w:id="614" w:name="_Toc127151748"/>
      <w:r/>
      <w:bookmarkStart w:id="615" w:name="_Toc195842912"/>
      <w:r/>
      <w:bookmarkStart w:id="616" w:name="_Toc226965820"/>
      <w:r/>
      <w:bookmarkStart w:id="617" w:name="_Toc164229242"/>
      <w:r/>
      <w:bookmarkStart w:id="618" w:name="_Toc150480785"/>
      <w:r/>
      <w:bookmarkStart w:id="619" w:name="_Toc150509298"/>
      <w:r/>
      <w:bookmarkStart w:id="620" w:name="_Toc151193861"/>
      <w:r/>
      <w:r/>
    </w:p>
    <w:p>
      <w:pPr>
        <w:numPr>
          <w:ilvl w:val="0"/>
          <w:numId w:val="8"/>
        </w:numPr>
        <w:ind w:left="357" w:hanging="357"/>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bookmarkStart w:id="621" w:name="_Toc305158891"/>
      <w:r/>
      <w:bookmarkStart w:id="622" w:name="_Toc305158817"/>
      <w:r/>
      <w:bookmarkStart w:id="623" w:name="_Toc151193937"/>
      <w:r/>
      <w:bookmarkStart w:id="624" w:name="_Toc164608818"/>
      <w:r/>
      <w:bookmarkStart w:id="625" w:name="_Toc149720842"/>
      <w:r/>
      <w:bookmarkStart w:id="626" w:name="_Toc127161463"/>
      <w:r/>
      <w:bookmarkStart w:id="627" w:name="_Toc150774649"/>
      <w:r/>
      <w:bookmarkStart w:id="628" w:name="_Toc150480787"/>
      <w:r/>
      <w:bookmarkStart w:id="629" w:name="_Toc151193791"/>
      <w:r/>
      <w:bookmarkStart w:id="630" w:name="_Toc226965739"/>
      <w:r/>
      <w:bookmarkStart w:id="631" w:name="_Toc127151750"/>
      <w:r/>
      <w:bookmarkStart w:id="632" w:name="_Toc226965822"/>
      <w:r/>
      <w:bookmarkStart w:id="633" w:name="_Toc164229244"/>
      <w:r/>
      <w:bookmarkStart w:id="634" w:name="_Toc151193863"/>
      <w:r/>
      <w:bookmarkStart w:id="635" w:name="_Toc142311051"/>
      <w:r/>
      <w:bookmarkStart w:id="636" w:name="_Toc150509300"/>
      <w:r/>
      <w:bookmarkStart w:id="637" w:name="_Toc150774754"/>
      <w:r/>
      <w:bookmarkStart w:id="638" w:name="_Toc226309793"/>
      <w:r/>
      <w:bookmarkStart w:id="639" w:name="_Toc264969239"/>
      <w:r/>
      <w:bookmarkStart w:id="640" w:name="_Toc151190176"/>
      <w:r/>
      <w:bookmarkStart w:id="641" w:name="_Toc164351643"/>
      <w:r/>
      <w:bookmarkStart w:id="642" w:name="_Toc265228387"/>
      <w:r/>
      <w:bookmarkStart w:id="643" w:name="_Toc151193647"/>
      <w:r/>
      <w:bookmarkStart w:id="644" w:name="_Toc164608663"/>
      <w:r/>
      <w:bookmarkStart w:id="645" w:name="_Toc151193719"/>
      <w:r/>
      <w:bookmarkStart w:id="646" w:name="_Toc226337245"/>
      <w:r/>
      <w:bookmarkStart w:id="647" w:name="_Toc164229390"/>
      <w:r/>
      <w:bookmarkStart w:id="648" w:name="_Toc127151549"/>
      <w:r/>
      <w:bookmarkStart w:id="649" w:name="_Toc195842914"/>
      <w:r/>
      <w:bookmarkStart w:id="650" w:name="_Ref467306425"/>
      <w:r/>
      <w:bookmarkStart w:id="651" w:name="_Toc520356176"/>
      <w:r/>
      <w:bookmarkStart w:id="652" w:name="_Ref467307090"/>
      <w:r>
        <w:rPr>
          <w:sz w:val="24"/>
        </w:rPr>
        <w:t xml:space="preserve">中标公告与中标通知书</w:t>
      </w:r>
      <w:bookmarkEnd w:id="621"/>
      <w:r/>
      <w:bookmarkEnd w:id="622"/>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rPr>
        <w:outlineLvl w:val="1"/>
      </w:pPr>
      <w:r>
        <w:rPr>
          <w:sz w:val="24"/>
        </w:rPr>
        <w:t xml:space="preserve">废标</w:t>
      </w:r>
      <w:r/>
    </w:p>
    <w:p>
      <w:pPr>
        <w:numPr>
          <w:ilvl w:val="1"/>
          <w:numId w:val="8"/>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8"/>
        </w:numPr>
        <w:spacing w:line="360" w:lineRule="auto"/>
        <w:rPr>
          <w:sz w:val="24"/>
        </w:rPr>
      </w:pPr>
      <w:r>
        <w:rPr>
          <w:sz w:val="24"/>
        </w:rPr>
        <w:t xml:space="preserve">符合专业条件的供应商或者对招标文件作实质响应的供应商不足三家的；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sz w:val="24"/>
        </w:rPr>
      </w:pPr>
      <w:r>
        <w:rPr>
          <w:sz w:val="24"/>
        </w:rPr>
        <w:t xml:space="preserve">投标人的报价均超过了采购预算，采购人不能支付的；</w:t>
      </w:r>
      <w:r/>
    </w:p>
    <w:p>
      <w:pPr>
        <w:numPr>
          <w:ilvl w:val="2"/>
          <w:numId w:val="8"/>
        </w:numPr>
        <w:spacing w:line="360" w:lineRule="auto"/>
        <w:rPr>
          <w:sz w:val="24"/>
        </w:rPr>
      </w:pPr>
      <w:r>
        <w:rPr>
          <w:sz w:val="24"/>
        </w:rPr>
        <w:t xml:space="preserve">因重大变故，采购任务取消的。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0"/>
          <w:numId w:val="8"/>
        </w:numPr>
        <w:ind w:left="357" w:hanging="357"/>
        <w:spacing w:line="360" w:lineRule="auto"/>
        <w:tabs>
          <w:tab w:val="left" w:pos="360" w:leader="none"/>
        </w:tabs>
        <w:rPr>
          <w:sz w:val="24"/>
        </w:rPr>
        <w:outlineLvl w:val="1"/>
      </w:pPr>
      <w:r/>
      <w:bookmarkStart w:id="653" w:name="_Toc151193938"/>
      <w:r/>
      <w:bookmarkStart w:id="654" w:name="_Toc520356175"/>
      <w:r/>
      <w:bookmarkStart w:id="655" w:name="_Toc226309794"/>
      <w:r/>
      <w:bookmarkStart w:id="656" w:name="_Toc164608664"/>
      <w:r/>
      <w:bookmarkStart w:id="657" w:name="_Toc142311052"/>
      <w:r/>
      <w:bookmarkStart w:id="658" w:name="_Toc150509301"/>
      <w:r/>
      <w:bookmarkStart w:id="659" w:name="_Toc265228388"/>
      <w:r/>
      <w:bookmarkStart w:id="660" w:name="_Toc164229245"/>
      <w:r/>
      <w:bookmarkStart w:id="661" w:name="_Toc151190177"/>
      <w:r/>
      <w:bookmarkStart w:id="662" w:name="_Toc150480788"/>
      <w:r/>
      <w:bookmarkStart w:id="663" w:name="_Toc226965740"/>
      <w:r/>
      <w:bookmarkStart w:id="664" w:name="_Toc127151550"/>
      <w:r/>
      <w:bookmarkStart w:id="665" w:name="_Toc164351644"/>
      <w:r/>
      <w:bookmarkStart w:id="666" w:name="_Ref467307204"/>
      <w:r/>
      <w:bookmarkStart w:id="667" w:name="_Toc226337246"/>
      <w:r/>
      <w:bookmarkStart w:id="668" w:name="_Toc226965823"/>
      <w:r/>
      <w:bookmarkStart w:id="669" w:name="_Toc151193864"/>
      <w:r/>
      <w:bookmarkStart w:id="670" w:name="_Toc164608819"/>
      <w:r/>
      <w:bookmarkStart w:id="671" w:name="_Toc150774650"/>
      <w:r/>
      <w:bookmarkStart w:id="672" w:name="_Toc305158892"/>
      <w:r/>
      <w:bookmarkStart w:id="673" w:name="_Toc264969240"/>
      <w:r/>
      <w:bookmarkStart w:id="674" w:name="_Ref467307062"/>
      <w:r/>
      <w:bookmarkStart w:id="675" w:name="_Toc151193792"/>
      <w:r/>
      <w:bookmarkStart w:id="676" w:name="_Toc195842915"/>
      <w:r/>
      <w:bookmarkStart w:id="677" w:name="_Toc149720843"/>
      <w:r/>
      <w:bookmarkStart w:id="678" w:name="_Toc305158818"/>
      <w:r/>
      <w:bookmarkStart w:id="679" w:name="_Ref467306377"/>
      <w:r/>
      <w:bookmarkStart w:id="680" w:name="_Toc151193648"/>
      <w:r/>
      <w:bookmarkStart w:id="681" w:name="_Toc127151751"/>
      <w:r/>
      <w:bookmarkStart w:id="682" w:name="_Toc164229391"/>
      <w:r/>
      <w:bookmarkStart w:id="683" w:name="_Toc150774755"/>
      <w:r/>
      <w:bookmarkStart w:id="684" w:name="_Ref467306978"/>
      <w:r/>
      <w:bookmarkStart w:id="685" w:name="_Toc151193720"/>
      <w:r/>
      <w:bookmarkStart w:id="686" w:name="_Toc127161464"/>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p>
    <w:p>
      <w:pPr>
        <w:numPr>
          <w:ilvl w:val="1"/>
          <w:numId w:val="8"/>
        </w:numPr>
        <w:ind w:left="1077" w:hanging="720"/>
        <w:spacing w:line="360" w:lineRule="auto"/>
        <w:tabs>
          <w:tab w:val="left" w:pos="1080" w:leader="none"/>
          <w:tab w:val="left" w:pos="2014" w:leader="none"/>
        </w:tabs>
      </w:pPr>
      <w:r>
        <w:rPr>
          <w:rFonts w:ascii="宋体" w:hAnsi="宋体" w:cs="宋体"/>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bookmarkEnd w:id="650"/>
      <w:r/>
      <w:bookmarkEnd w:id="651"/>
      <w:r/>
      <w:bookmarkEnd w:id="652"/>
      <w:r/>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75"/>
        </w:rPr>
        <w:t xml:space="preserve">http://gk</w:t>
      </w:r>
      <w:bookmarkStart w:id="687" w:name="_Hlt100654014"/>
      <w:r>
        <w:rPr>
          <w:rStyle w:val="1075"/>
        </w:rPr>
        <w:t xml:space="preserve">s</w:t>
      </w:r>
      <w:bookmarkEnd w:id="687"/>
      <w:r>
        <w:rPr>
          <w:rStyle w:val="1075"/>
        </w:rPr>
        <w:t xml:space="preserve">.m</w:t>
      </w:r>
      <w:bookmarkStart w:id="688" w:name="_Hlt100653994"/>
      <w:r/>
      <w:bookmarkStart w:id="689" w:name="_Hlt100653993"/>
      <w:r>
        <w:rPr>
          <w:rStyle w:val="1075"/>
        </w:rPr>
        <w:t xml:space="preserve">o</w:t>
      </w:r>
      <w:bookmarkEnd w:id="688"/>
      <w:r/>
      <w:bookmarkEnd w:id="689"/>
      <w:r>
        <w:rPr>
          <w:rStyle w:val="1075"/>
        </w:rPr>
        <w:t xml:space="preserve">f.gov.cn/ztztz/zhengfucaigouguanli/201802/t20180201_2804589.htm</w:t>
      </w:r>
      <w:r>
        <w:rPr>
          <w:rStyle w:val="1075"/>
        </w:rPr>
        <w:fldChar w:fldCharType="end"/>
      </w:r>
      <w:r>
        <w:rPr>
          <w:rFonts w:hint="eastAsia"/>
        </w:rPr>
        <w:t xml:space="preserve">）</w:t>
      </w:r>
      <w:r/>
    </w:p>
    <w:p>
      <w:pPr>
        <w:numPr>
          <w:ilvl w:val="2"/>
          <w:numId w:val="8"/>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numPr>
          <w:ilvl w:val="0"/>
          <w:numId w:val="0"/>
        </w:numPr>
        <w:spacing w:line="360" w:lineRule="auto"/>
        <w:tabs>
          <w:tab w:val="left" w:pos="1080" w:leader="none"/>
          <w:tab w:val="left" w:pos="2014" w:leader="none"/>
        </w:tabs>
        <w:rPr>
          <w:sz w:val="24"/>
        </w:rPr>
      </w:pPr>
      <w:r/>
      <w:bookmarkStart w:id="690" w:name="_Toc150480792"/>
      <w:r/>
      <w:bookmarkStart w:id="691" w:name="_Toc265228392"/>
      <w:r/>
      <w:bookmarkStart w:id="692" w:name="_Toc264969244"/>
      <w:r/>
      <w:bookmarkStart w:id="693" w:name="_Toc142311056"/>
      <w:r/>
      <w:bookmarkStart w:id="694" w:name="_Toc226337250"/>
      <w:r/>
      <w:bookmarkStart w:id="695" w:name="_Toc353825544"/>
      <w:r/>
      <w:bookmarkStart w:id="696" w:name="_Toc305158896"/>
      <w:r/>
      <w:bookmarkStart w:id="697" w:name="_Toc305158822"/>
      <w:r/>
      <w:bookmarkStart w:id="698" w:name="_Toc150774759"/>
      <w:r/>
      <w:bookmarkStart w:id="699" w:name="_Toc226965827"/>
      <w:r/>
      <w:bookmarkStart w:id="700" w:name="_Toc353873664"/>
      <w:r/>
      <w:bookmarkStart w:id="701" w:name="_Toc127151554"/>
      <w:r/>
      <w:bookmarkStart w:id="702" w:name="_Toc353873934"/>
      <w:r>
        <w:rPr>
          <w:rFonts w:hint="eastAsia"/>
          <w:sz w:val="24"/>
          <w:lang w:val="en-US" w:eastAsia="zh-CN"/>
        </w:rPr>
        <w:t xml:space="preserve">28 </w:t>
      </w: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jc w:val="center"/>
        <w:spacing w:line="360" w:lineRule="auto"/>
        <w:rPr>
          <w:b/>
          <w:sz w:val="36"/>
          <w:szCs w:val="36"/>
        </w:rPr>
        <w:outlineLvl w:val="0"/>
      </w:pPr>
      <w:r>
        <w:rPr>
          <w:sz w:val="24"/>
        </w:rPr>
        <w:br w:type="page" w:clear="all"/>
      </w:r>
      <w:bookmarkStart w:id="703" w:name="_Toc99301421"/>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704"/>
      <w:r/>
      <w:r/>
    </w:p>
    <w:p>
      <w:pPr>
        <w:pStyle w:val="1027"/>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226965858"/>
      <w:r/>
      <w:bookmarkStart w:id="708" w:name="_Toc127161490"/>
      <w:r/>
      <w:bookmarkStart w:id="709" w:name="_Toc353825550"/>
      <w:r/>
      <w:bookmarkStart w:id="710" w:name="_Toc127151779"/>
      <w:r/>
      <w:bookmarkStart w:id="711" w:name="_Toc353873940"/>
      <w:r>
        <w:rPr>
          <w:rFonts w:hint="eastAsia" w:ascii="宋体" w:hAnsi="宋体" w:eastAsia="宋体" w:cs="宋体"/>
          <w:sz w:val="28"/>
        </w:rPr>
        <w:t xml:space="preserve">二、资格审查要求</w:t>
      </w:r>
      <w:r/>
    </w:p>
    <w:tbl>
      <w:tblPr>
        <w:tblStyle w:val="10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2"/>
        <w:gridCol w:w="4930"/>
        <w:gridCol w:w="1533"/>
      </w:tblGrid>
      <w:tr>
        <w:trPr>
          <w:cantSplit/>
          <w:trHeight w:val="468"/>
          <w:tblHeader/>
        </w:trPr>
        <w:tc>
          <w:tcPr>
            <w:tcW w:w="45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2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652" w:type="pct"/>
            <w:vAlign w:val="center"/>
            <w:textDirection w:val="lrTb"/>
            <w:noWrap w:val="false"/>
          </w:tcPr>
          <w:p>
            <w:pPr>
              <w:pStyle w:val="1081"/>
              <w:spacing w:line="360" w:lineRule="auto"/>
              <w:rPr>
                <w:rFonts w:ascii="宋体" w:hAnsi="宋体" w:cs="宋体"/>
              </w:rPr>
            </w:pPr>
            <w:r>
              <w:rPr>
                <w:rFonts w:hint="eastAsia" w:ascii="宋体" w:hAnsi="宋体" w:cs="宋体"/>
              </w:rPr>
              <w:t xml:space="preserve">具体规定见第一章《招标公告》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投标人资格声明函</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投标人信用记录</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2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无须投标人提供，采购人或采购代理机构</w:t>
            </w:r>
            <w:r>
              <w:rPr>
                <w:rFonts w:hint="eastAsia" w:ascii="宋体" w:hAnsi="宋体" w:cs="宋体"/>
                <w:sz w:val="24"/>
                <w:lang w:val="en-US" w:eastAsia="zh-CN"/>
              </w:rPr>
              <w:t xml:space="preserve">查询</w:t>
            </w:r>
            <w:r>
              <w:rPr>
                <w:rFonts w:hint="eastAsia" w:ascii="宋体" w:hAnsi="宋体" w:cs="宋体"/>
                <w:sz w:val="24"/>
              </w:rPr>
              <w:t xml:space="preserve">。</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652"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中小企业声明函</w:t>
            </w:r>
            <w:r/>
          </w:p>
        </w:tc>
        <w:tc>
          <w:tcPr>
            <w:tcW w:w="2652" w:type="pct"/>
            <w:vAlign w:val="center"/>
            <w:textDirection w:val="lrTb"/>
            <w:noWrap w:val="false"/>
          </w:tcPr>
          <w:p>
            <w:pPr>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p>
          <w:p>
            <w:pPr>
              <w:tabs>
                <w:tab w:val="left" w:pos="1080" w:leader="none"/>
              </w:tabs>
              <w:rPr>
                <w:sz w:val="24"/>
              </w:rPr>
            </w:pPr>
            <w:r>
              <w:rPr>
                <w:sz w:val="24"/>
              </w:rPr>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jc w:val="center"/>
              <w:tabs>
                <w:tab w:val="left" w:pos="1080" w:leader="none"/>
              </w:tabs>
              <w:rPr>
                <w:rFonts w:ascii="宋体" w:hAnsi="宋体" w:cs="宋体"/>
                <w:sz w:val="24"/>
              </w:rPr>
            </w:pPr>
            <w:r>
              <w:rPr>
                <w:rFonts w:hint="eastAsia"/>
                <w:sz w:val="24"/>
              </w:rPr>
              <w:t xml:space="preserve">注2：</w:t>
            </w:r>
            <w:r>
              <w:rPr>
                <w:sz w:val="24"/>
              </w:rPr>
              <w:t xml:space="preserve">残疾人福利性单位须按招标文件要求提供《残疾人福利性单位声明函》。</w:t>
            </w:r>
            <w:r/>
          </w:p>
        </w:tc>
        <w:tc>
          <w:tcPr>
            <w:tcW w:w="825" w:type="pct"/>
            <w:vAlign w:val="center"/>
            <w:textDirection w:val="lrTb"/>
            <w:noWrap w:val="false"/>
          </w:tcPr>
          <w:p>
            <w:pPr>
              <w:tabs>
                <w:tab w:val="left" w:pos="1080" w:leader="none"/>
              </w:tabs>
              <w:rPr>
                <w:rFonts w:ascii="宋体" w:hAnsi="宋体" w:cs="宋体"/>
                <w:sz w:val="24"/>
              </w:rPr>
            </w:pPr>
            <w:r>
              <w:rPr>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652"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Cs/>
                <w:sz w:val="24"/>
              </w:rPr>
              <w:t xml:space="preserve">/</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652" w:type="pct"/>
            <w:vAlign w:val="center"/>
            <w:textDirection w:val="lrTb"/>
            <w:noWrap w:val="false"/>
          </w:tcPr>
          <w:p>
            <w:pPr>
              <w:jc w:val="center"/>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rPr>
                <w:rFonts w:ascii="宋体" w:hAnsi="宋体" w:cs="宋体"/>
                <w:sz w:val="24"/>
              </w:rPr>
            </w:pPr>
            <w:r>
              <w:rPr>
                <w:rFonts w:ascii="宋体" w:hAnsi="宋体" w:cs="宋体"/>
                <w:sz w:val="24"/>
              </w:rPr>
            </w:r>
            <w:r/>
          </w:p>
        </w:tc>
      </w:tr>
      <w:tr>
        <w:trPr>
          <w:cantSplit/>
          <w:trHeight w:val="993"/>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是否接受分支机构参与投标</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90"/>
        </w:trPr>
        <w:tc>
          <w:tcPr>
            <w:tcW w:w="454"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3-3</w:t>
            </w:r>
            <w:r/>
          </w:p>
        </w:tc>
        <w:tc>
          <w:tcPr>
            <w:tcW w:w="1066"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其他特定资格要求</w:t>
            </w:r>
            <w:r/>
          </w:p>
        </w:tc>
        <w:tc>
          <w:tcPr>
            <w:tcW w:w="2652"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25" w:type="pct"/>
            <w:vAlign w:val="center"/>
            <w:textDirection w:val="lrTb"/>
            <w:noWrap w:val="false"/>
          </w:tcPr>
          <w:p>
            <w:pPr>
              <w:jc w:val="center"/>
              <w:tabs>
                <w:tab w:val="left" w:pos="1080" w:leader="none"/>
              </w:tabs>
              <w:rPr>
                <w:rFonts w:ascii="宋体" w:hAnsi="宋体" w:cs="宋体"/>
                <w:sz w:val="24"/>
              </w:rPr>
            </w:pPr>
            <w:r>
              <w:rPr>
                <w:rFonts w:ascii="宋体" w:hAnsi="宋体" w:cs="宋体"/>
                <w:sz w:val="24"/>
              </w:rPr>
            </w:r>
            <w:r/>
          </w:p>
        </w:tc>
      </w:tr>
    </w:tbl>
    <w:p>
      <w:pPr>
        <w:jc w:val="left"/>
        <w:widowControl/>
        <w:rPr>
          <w:sz w:val="24"/>
        </w:rPr>
      </w:pPr>
      <w:r>
        <w:rPr>
          <w:sz w:val="24"/>
        </w:rPr>
        <w:br w:type="page" w:clear="all"/>
      </w:r>
      <w:r/>
    </w:p>
    <w:p>
      <w:pPr>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ind w:left="900" w:hanging="900"/>
        <w:spacing w:line="360" w:lineRule="auto"/>
        <w:tabs>
          <w:tab w:val="left" w:pos="360" w:leader="none"/>
        </w:tabs>
        <w:rPr>
          <w:sz w:val="24"/>
        </w:rPr>
        <w:outlineLvl w:val="1"/>
      </w:pPr>
      <w:r/>
      <w:bookmarkStart w:id="714" w:name="_Toc164351635"/>
      <w:r/>
      <w:bookmarkStart w:id="715" w:name="_Toc142311043"/>
      <w:r/>
      <w:bookmarkStart w:id="716" w:name="_Toc127161455"/>
      <w:r/>
      <w:bookmarkStart w:id="717" w:name="_Toc127151742"/>
      <w:r/>
      <w:bookmarkStart w:id="718" w:name="_Toc305158883"/>
      <w:r/>
      <w:bookmarkStart w:id="719" w:name="_Toc127151541"/>
      <w:r/>
      <w:bookmarkStart w:id="720" w:name="_Toc305158809"/>
      <w:r/>
      <w:bookmarkStart w:id="721" w:name="_Toc151193929"/>
      <w:r/>
      <w:bookmarkStart w:id="722" w:name="_Toc226309785"/>
      <w:r/>
      <w:bookmarkStart w:id="723" w:name="_Toc150774746"/>
      <w:r/>
      <w:bookmarkStart w:id="724" w:name="_Toc151193639"/>
      <w:r/>
      <w:bookmarkStart w:id="725" w:name="_Toc149720834"/>
      <w:r/>
      <w:bookmarkStart w:id="726" w:name="_Toc226965814"/>
      <w:r/>
      <w:bookmarkStart w:id="727" w:name="_Toc151193783"/>
      <w:r/>
      <w:bookmarkStart w:id="728" w:name="_Toc164608810"/>
      <w:r/>
      <w:bookmarkStart w:id="729" w:name="_Toc195842906"/>
      <w:r/>
      <w:bookmarkStart w:id="730" w:name="_Toc226337237"/>
      <w:r/>
      <w:bookmarkStart w:id="731" w:name="_Toc150509292"/>
      <w:r/>
      <w:bookmarkStart w:id="732" w:name="_Toc164229382"/>
      <w:r/>
      <w:bookmarkStart w:id="733" w:name="_Toc151193711"/>
      <w:r/>
      <w:bookmarkStart w:id="734" w:name="_Toc264969231"/>
      <w:r/>
      <w:bookmarkStart w:id="735" w:name="_Toc151190168"/>
      <w:r/>
      <w:bookmarkStart w:id="736" w:name="_Toc226965731"/>
      <w:r/>
      <w:bookmarkStart w:id="737" w:name="_Toc150480779"/>
      <w:r/>
      <w:bookmarkStart w:id="738" w:name="_Toc151193855"/>
      <w:r/>
      <w:bookmarkStart w:id="739" w:name="_Toc164608655"/>
      <w:r/>
      <w:bookmarkStart w:id="740" w:name="_Toc265228379"/>
      <w:r/>
      <w:bookmarkStart w:id="741" w:name="_Toc150774641"/>
      <w:r/>
      <w:bookmarkStart w:id="742" w:name="_Toc164229236"/>
      <w:r/>
      <w:bookmarkStart w:id="743" w:name="_Toc353873941"/>
      <w:r/>
      <w:bookmarkStart w:id="744" w:name="_Toc353825551"/>
      <w:r/>
      <w:bookmarkStart w:id="745" w:name="_Toc353873665"/>
      <w:r/>
      <w:bookmarkStart w:id="746" w:name="_Toc353825545"/>
      <w:r/>
      <w:bookmarkStart w:id="747" w:name="_Toc150774760"/>
      <w:r/>
      <w:bookmarkStart w:id="748" w:name="_Toc150480793"/>
      <w:r/>
      <w:bookmarkStart w:id="749" w:name="_Toc226337251"/>
      <w:r/>
      <w:bookmarkStart w:id="750" w:name="_Toc127151555"/>
      <w:r/>
      <w:bookmarkStart w:id="751" w:name="_Toc265228393"/>
      <w:r/>
      <w:bookmarkStart w:id="752" w:name="_Toc305158897"/>
      <w:r/>
      <w:bookmarkStart w:id="753" w:name="_Toc264969245"/>
      <w:r/>
      <w:bookmarkStart w:id="754" w:name="_Toc226965828"/>
      <w:r/>
      <w:bookmarkStart w:id="755" w:name="_Toc305158823"/>
      <w:r/>
      <w:bookmarkStart w:id="756" w:name="_Toc195842920"/>
      <w:r/>
      <w:bookmarkStart w:id="757" w:name="_Toc353873935"/>
      <w:r/>
      <w:bookmarkStart w:id="758" w:name="_Toc142311057"/>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spacing w:line="360" w:lineRule="auto"/>
        <w:tabs>
          <w:tab w:val="left" w:pos="1080" w:leader="none"/>
          <w:tab w:val="left" w:pos="1589" w:leader="none"/>
        </w:tabs>
        <w:rPr>
          <w:sz w:val="24"/>
        </w:rPr>
      </w:pPr>
      <w:r>
        <w:rPr>
          <w:sz w:val="24"/>
        </w:rPr>
      </w:r>
      <w:r/>
    </w:p>
    <w:tbl>
      <w:tblPr>
        <w:tblStyle w:val="10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jc w:val="center"/>
              <w:widowControl/>
              <w:rPr>
                <w:b/>
                <w:color w:val="000000"/>
                <w:sz w:val="24"/>
              </w:rPr>
            </w:pPr>
            <w:r>
              <w:rPr>
                <w:b/>
                <w:color w:val="000000"/>
                <w:sz w:val="24"/>
              </w:rPr>
              <w:t xml:space="preserve">审查内容</w:t>
            </w:r>
            <w:r/>
          </w:p>
        </w:tc>
      </w:tr>
      <w:tr>
        <w:trPr>
          <w:jc w:val="center"/>
          <w:trHeight w:val="1898"/>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color w:val="000000"/>
              </w:rPr>
              <w:t xml:space="preserve">(格式见《投标文件格式》)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left"/>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left"/>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rFonts w:hint="eastAsia"/>
                <w:color w:val="000000"/>
                <w:sz w:val="24"/>
                <w:lang w:val="en-US" w:eastAsia="zh-CN"/>
              </w:rPr>
              <w:t xml:space="preserve">；未超过综合单价限价的</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left"/>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left"/>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Cs/>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left"/>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left"/>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left"/>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left"/>
              <w:widowControl/>
              <w:rPr>
                <w:color w:val="000000"/>
                <w:sz w:val="24"/>
              </w:rPr>
            </w:pPr>
            <w:r>
              <w:rPr>
                <w:color w:val="000000"/>
                <w:sz w:val="24"/>
              </w:rPr>
              <w:t xml:space="preserve">分包意向协议</w:t>
            </w:r>
            <w:r/>
          </w:p>
          <w:p>
            <w:pPr>
              <w:jc w:val="left"/>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left"/>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114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left"/>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left"/>
              <w:widowControl/>
              <w:rPr>
                <w:color w:val="000000"/>
                <w:sz w:val="24"/>
              </w:rPr>
            </w:pPr>
            <w:r>
              <w:rPr>
                <w:color w:val="000000"/>
                <w:sz w:val="24"/>
              </w:rPr>
              <w:t xml:space="preserve">进口产品</w:t>
            </w:r>
            <w:r/>
          </w:p>
          <w:p>
            <w:pPr>
              <w:jc w:val="left"/>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left"/>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left"/>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left"/>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left"/>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1081"/>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
    </w:p>
    <w:p>
      <w:pPr>
        <w:ind w:left="900" w:hanging="900"/>
        <w:spacing w:line="360" w:lineRule="auto"/>
        <w:tabs>
          <w:tab w:val="left" w:pos="360" w:leader="none"/>
        </w:tabs>
        <w:rPr>
          <w:sz w:val="24"/>
        </w:rPr>
        <w:outlineLvl w:val="1"/>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2.4.1</w:t>
      </w: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ind w:left="900" w:hanging="900"/>
        <w:spacing w:line="360" w:lineRule="auto"/>
        <w:tabs>
          <w:tab w:val="left" w:pos="360" w:leader="none"/>
        </w:tabs>
        <w:rPr>
          <w:sz w:val="24"/>
        </w:rPr>
        <w:outlineLvl w:val="1"/>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3.2.1</w:t>
      </w: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hanging="900"/>
        <w:spacing w:line="360" w:lineRule="auto"/>
        <w:tabs>
          <w:tab w:val="left" w:pos="360" w:leader="none"/>
        </w:tabs>
        <w:rPr>
          <w:sz w:val="24"/>
        </w:rPr>
        <w:outlineLvl w:val="1"/>
      </w:pPr>
      <w:r>
        <w:rPr>
          <w:rFonts w:hint="eastAsia"/>
          <w:sz w:val="24"/>
        </w:rPr>
        <w:t xml:space="preserve">4</w:t>
      </w:r>
      <w:r>
        <w:rPr>
          <w:sz w:val="24"/>
        </w:rPr>
        <w:t xml:space="preserve">确定</w:t>
      </w:r>
      <w:bookmarkStart w:id="760" w:name="_Toc150774751"/>
      <w:r/>
      <w:bookmarkStart w:id="761" w:name="_Toc149720839"/>
      <w:r/>
      <w:bookmarkStart w:id="762" w:name="_Toc226337242"/>
      <w:r/>
      <w:bookmarkStart w:id="763" w:name="_Toc127161460"/>
      <w:r/>
      <w:bookmarkStart w:id="764" w:name="_Toc164351640"/>
      <w:r/>
      <w:bookmarkStart w:id="765" w:name="_Toc151193644"/>
      <w:r/>
      <w:bookmarkStart w:id="766" w:name="_Toc151193716"/>
      <w:r/>
      <w:bookmarkStart w:id="767" w:name="_Toc164229387"/>
      <w:r/>
      <w:bookmarkStart w:id="768" w:name="_Ref467307010"/>
      <w:r/>
      <w:bookmarkStart w:id="769" w:name="_Toc226965736"/>
      <w:r/>
      <w:bookmarkStart w:id="770" w:name="_Toc164229241"/>
      <w:r/>
      <w:bookmarkStart w:id="771" w:name="_Toc164608660"/>
      <w:r/>
      <w:bookmarkStart w:id="772" w:name="_Toc305158888"/>
      <w:r/>
      <w:bookmarkStart w:id="773" w:name="_Toc150480784"/>
      <w:r/>
      <w:bookmarkStart w:id="774" w:name="_Toc127151546"/>
      <w:r/>
      <w:bookmarkStart w:id="775" w:name="_Toc150509297"/>
      <w:r/>
      <w:bookmarkStart w:id="776" w:name="_Toc164608815"/>
      <w:r/>
      <w:bookmarkStart w:id="777" w:name="_Toc142311048"/>
      <w:r/>
      <w:bookmarkStart w:id="778" w:name="_Toc151190173"/>
      <w:r/>
      <w:bookmarkStart w:id="779" w:name="_Toc265228384"/>
      <w:r/>
      <w:bookmarkStart w:id="780" w:name="_Toc151193934"/>
      <w:r/>
      <w:bookmarkStart w:id="781" w:name="_Toc226309790"/>
      <w:r/>
      <w:bookmarkStart w:id="782" w:name="_Toc151193788"/>
      <w:r/>
      <w:bookmarkStart w:id="783" w:name="_Toc150774646"/>
      <w:r/>
      <w:bookmarkStart w:id="784" w:name="_Toc520356170"/>
      <w:r/>
      <w:bookmarkStart w:id="785" w:name="_Toc127151747"/>
      <w:r/>
      <w:bookmarkStart w:id="786" w:name="_Toc195842911"/>
      <w:r/>
      <w:bookmarkStart w:id="787" w:name="_Toc151193860"/>
      <w:r/>
      <w:bookmarkStart w:id="788" w:name="_Toc264969236"/>
      <w:r/>
      <w:bookmarkStart w:id="789" w:name="_Toc226965819"/>
      <w:r/>
      <w:bookmarkStart w:id="790" w:name="_Toc305158814"/>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50"/>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1050"/>
        <w:ind w:left="993" w:firstLine="136"/>
        <w:spacing w:line="360" w:lineRule="auto"/>
        <w:tabs>
          <w:tab w:val="left" w:pos="900" w:leader="none"/>
          <w:tab w:val="left" w:pos="2127" w:leader="none"/>
        </w:tabs>
        <w:rPr>
          <w:rFonts w:hint="default" w:ascii="Times New Roman" w:hAnsi="Times New Roman"/>
          <w:sz w:val="24"/>
          <w:szCs w:val="24"/>
        </w:rPr>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left="900" w:hanging="900"/>
        <w:spacing w:line="360" w:lineRule="auto"/>
        <w:tabs>
          <w:tab w:val="left" w:pos="360" w:leader="none"/>
        </w:tabs>
        <w:rPr>
          <w:sz w:val="24"/>
        </w:rPr>
        <w:outlineLvl w:val="1"/>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jc w:val="left"/>
        <w:widowControl/>
        <w:rPr>
          <w:b/>
          <w:sz w:val="24"/>
          <w:highlight w:val="yellow"/>
        </w:rPr>
      </w:pPr>
      <w:r>
        <w:rPr>
          <w:b/>
          <w:sz w:val="24"/>
        </w:rPr>
        <w:br w:type="page" w:clear="all"/>
      </w:r>
      <w:r/>
    </w:p>
    <w:p>
      <w:pPr>
        <w:jc w:val="center"/>
        <w:spacing w:line="360" w:lineRule="auto"/>
        <w:tabs>
          <w:tab w:val="left" w:pos="360" w:leader="none"/>
          <w:tab w:val="left" w:pos="900" w:leader="none"/>
        </w:tabs>
        <w:rPr>
          <w:b/>
        </w:rPr>
        <w:outlineLvl w:val="1"/>
      </w:pPr>
      <w:r>
        <w:rPr>
          <w:b/>
          <w:sz w:val="24"/>
        </w:rPr>
        <w:t xml:space="preserve">二、评标标准</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
    </w:p>
    <w:tbl>
      <w:tblPr>
        <w:tblStyle w:val="1036"/>
        <w:tblW w:w="5351" w:type="pct"/>
        <w:tblInd w:w="-7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349"/>
        <w:gridCol w:w="953"/>
        <w:gridCol w:w="3995"/>
        <w:gridCol w:w="1886"/>
      </w:tblGrid>
      <w:tr>
        <w:trPr>
          <w:trHeight w:val="90"/>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评分因素</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p>
        </w:tc>
        <w:tc>
          <w:tcPr>
            <w:tcW w:w="3995"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tc>
      </w:tr>
      <w:tr>
        <w:trPr>
          <w:trHeight w:val="631"/>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40</w:t>
            </w:r>
            <w:r/>
          </w:p>
        </w:tc>
        <w:tc>
          <w:tcPr>
            <w:tcW w:w="3995" w:type="dxa"/>
            <w:vAlign w:val="center"/>
            <w:textDirection w:val="lrTb"/>
            <w:noWrap w:val="false"/>
          </w:tcPr>
          <w:p>
            <w:pPr>
              <w:ind w:firstLine="28"/>
              <w:jc w:val="left"/>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w:t>
            </w:r>
            <w:r>
              <w:rPr>
                <w:rFonts w:hint="eastAsia" w:ascii="宋体" w:hAnsi="宋体" w:eastAsia="宋体" w:cs="宋体"/>
                <w:strike w:val="0"/>
                <w:color w:val="000000"/>
                <w:sz w:val="24"/>
                <w:szCs w:val="24"/>
                <w:highlight w:val="none"/>
              </w:rPr>
              <w:t xml:space="preserve">且</w:t>
            </w:r>
            <w:r>
              <w:rPr>
                <w:rFonts w:hint="eastAsia" w:ascii="宋体" w:hAnsi="宋体" w:eastAsia="宋体" w:cs="宋体"/>
                <w:strike w:val="0"/>
                <w:color w:val="000000"/>
                <w:sz w:val="24"/>
                <w:szCs w:val="24"/>
                <w:highlight w:val="none"/>
                <w:lang w:val="en-US" w:eastAsia="zh-CN"/>
              </w:rPr>
              <w:t xml:space="preserve">投标报价</w:t>
            </w:r>
            <w:r>
              <w:rPr>
                <w:rFonts w:hint="eastAsia" w:ascii="宋体" w:hAnsi="宋体" w:eastAsia="宋体" w:cs="宋体"/>
                <w:color w:val="000000"/>
                <w:sz w:val="24"/>
                <w:szCs w:val="24"/>
                <w:highlight w:val="none"/>
              </w:rPr>
              <w:t xml:space="preserve">最低的为评标基准价，其价格分为满分。其他投标人的价格分统一按照下列公式计算：</w:t>
            </w:r>
            <w:r/>
          </w:p>
          <w:p>
            <w:pPr>
              <w:ind w:firstLine="28"/>
              <w:jc w:val="left"/>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w:t>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此处投标报价指经过报价修正，及因落实政府采购政策进行价格调整后的报价，详见《评标方法和评标标准》</w:t>
            </w:r>
            <w:r/>
          </w:p>
        </w:tc>
      </w:tr>
      <w:tr>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w:t>
            </w:r>
            <w:r/>
          </w:p>
        </w:tc>
        <w:tc>
          <w:tcPr>
            <w:tcW w:w="3995"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产品的生产工艺与生产设备</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W w:w="3995" w:type="dxa"/>
            <w:vAlign w:val="center"/>
            <w:textDirection w:val="lrTb"/>
            <w:noWrap w:val="false"/>
          </w:tcPr>
          <w:p>
            <w:pPr>
              <w:keepLines w:val="0"/>
              <w:keepNext w:val="0"/>
              <w:pageBreakBefore w:val="0"/>
              <w:spacing w:line="340" w:lineRule="exact"/>
              <w:widowControl w:val="off"/>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根据供应商提供的产品生产工艺与生产设备的描述进行综合评分，内容包括但不限于生产工艺合理性、过程控制能力、环保与安全保障、可追溯性与稳定性等内容。</w:t>
            </w:r>
            <w:r/>
          </w:p>
          <w:p>
            <w:pPr>
              <w:keepLines w:val="0"/>
              <w:keepNext w:val="0"/>
              <w:pageBreakBefore w:val="0"/>
              <w:spacing w:line="3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各类生产设备齐全且与生产能力匹配、机械化程度高，工艺先进、合理的，得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keepLines w:val="0"/>
              <w:keepNext w:val="0"/>
              <w:pageBreakBefore w:val="0"/>
              <w:spacing w:line="3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生产设备基本齐全且与生产能力基本匹配、工艺</w:t>
            </w:r>
            <w:r>
              <w:rPr>
                <w:rFonts w:hint="eastAsia" w:ascii="宋体" w:hAnsi="宋体" w:eastAsia="宋体" w:cs="宋体"/>
                <w:bCs/>
                <w:color w:val="000000"/>
                <w:sz w:val="24"/>
                <w:szCs w:val="24"/>
                <w:highlight w:val="none"/>
                <w:lang w:val="en-US" w:eastAsia="zh-CN"/>
              </w:rPr>
              <w:t xml:space="preserve">较合理先进</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keepLines w:val="0"/>
              <w:keepNext w:val="0"/>
              <w:pageBreakBefore w:val="0"/>
              <w:spacing w:line="34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生产设备工艺</w:t>
            </w:r>
            <w:r>
              <w:rPr>
                <w:rFonts w:hint="eastAsia" w:ascii="宋体" w:hAnsi="宋体" w:cs="宋体"/>
                <w:bCs/>
                <w:color w:val="000000"/>
                <w:sz w:val="24"/>
                <w:szCs w:val="24"/>
                <w:highlight w:val="none"/>
                <w:lang w:val="en-US" w:eastAsia="zh-CN"/>
              </w:rPr>
              <w:t xml:space="preserve">相对简单，匹配性略有欠缺，</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p>
          <w:p>
            <w:p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4.设备工艺</w:t>
            </w:r>
            <w:r>
              <w:rPr>
                <w:rFonts w:hint="eastAsia" w:ascii="宋体" w:hAnsi="宋体" w:cs="宋体"/>
                <w:bCs/>
                <w:color w:val="000000"/>
                <w:sz w:val="24"/>
                <w:szCs w:val="24"/>
                <w:highlight w:val="none"/>
                <w:lang w:val="en-US" w:eastAsia="zh-CN"/>
              </w:rPr>
              <w:t xml:space="preserve">相对</w:t>
            </w:r>
            <w:r>
              <w:rPr>
                <w:rFonts w:hint="eastAsia" w:ascii="宋体" w:hAnsi="宋体" w:eastAsia="宋体" w:cs="宋体"/>
                <w:bCs/>
                <w:color w:val="000000"/>
                <w:sz w:val="24"/>
                <w:szCs w:val="24"/>
                <w:highlight w:val="none"/>
                <w:lang w:val="en-US" w:eastAsia="zh-CN"/>
              </w:rPr>
              <w:t xml:space="preserve">落后</w:t>
            </w:r>
            <w:r>
              <w:rPr>
                <w:rFonts w:hint="eastAsia" w:ascii="宋体" w:hAnsi="宋体" w:cs="宋体"/>
                <w:bCs/>
                <w:color w:val="000000"/>
                <w:sz w:val="24"/>
                <w:szCs w:val="24"/>
                <w:highlight w:val="none"/>
                <w:lang w:val="en-US" w:eastAsia="zh-CN"/>
              </w:rPr>
              <w:t xml:space="preserve">，匹配性过于欠缺</w:t>
            </w:r>
            <w:r>
              <w:rPr>
                <w:rFonts w:hint="eastAsia" w:ascii="宋体" w:hAnsi="宋体" w:eastAsia="宋体" w:cs="宋体"/>
                <w:bCs/>
                <w:color w:val="000000"/>
                <w:sz w:val="24"/>
                <w:szCs w:val="24"/>
                <w:highlight w:val="none"/>
                <w:lang w:val="en-US" w:eastAsia="zh-CN"/>
              </w:rPr>
              <w:t xml:space="preserve">的得2分</w:t>
            </w:r>
            <w:r>
              <w:rPr>
                <w:rFonts w:hint="eastAsia" w:ascii="宋体" w:hAnsi="宋体" w:eastAsia="宋体" w:cs="宋体"/>
                <w:bCs/>
                <w:color w:val="000000"/>
                <w:sz w:val="24"/>
                <w:szCs w:val="24"/>
                <w:highlight w:val="none"/>
                <w:lang w:val="en-US" w:eastAsia="zh-CN" w:bidi="ar-SA"/>
              </w:rPr>
              <w:t xml:space="preserve">；</w:t>
            </w:r>
            <w:r/>
          </w:p>
          <w:p>
            <w:pP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未提供不得分。</w:t>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产品储存、</w:t>
            </w:r>
            <w:r>
              <w:rPr>
                <w:rFonts w:hint="eastAsia" w:ascii="宋体" w:hAnsi="宋体" w:cs="宋体"/>
                <w:bCs/>
                <w:color w:val="000000"/>
                <w:sz w:val="24"/>
                <w:szCs w:val="24"/>
                <w:highlight w:val="none"/>
                <w:lang w:val="en-US" w:eastAsia="zh-CN"/>
              </w:rPr>
              <w:t xml:space="preserve">包装、</w:t>
            </w:r>
            <w:r>
              <w:rPr>
                <w:rFonts w:hint="eastAsia" w:ascii="宋体" w:hAnsi="宋体" w:eastAsia="宋体" w:cs="宋体"/>
                <w:bCs/>
                <w:color w:val="000000"/>
                <w:sz w:val="24"/>
                <w:szCs w:val="24"/>
                <w:highlight w:val="none"/>
              </w:rPr>
              <w:t xml:space="preserve">运输、保管和使用等技术要领、方略和建议</w:t>
            </w:r>
            <w:r/>
          </w:p>
        </w:tc>
        <w:tc>
          <w:tcPr>
            <w:tcW w:w="953" w:type="dxa"/>
            <w:vAlign w:val="center"/>
            <w:textDirection w:val="lrTb"/>
            <w:noWrap w:val="false"/>
          </w:tcPr>
          <w:p>
            <w:pPr>
              <w:pStyle w:val="1297"/>
              <w:ind w:left="0" w:firstLine="210"/>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8</w:t>
            </w:r>
            <w:r/>
          </w:p>
        </w:tc>
        <w:tc>
          <w:tcPr>
            <w:tcW w:w="3995" w:type="dxa"/>
            <w:vAlign w:val="center"/>
            <w:textDirection w:val="lrTb"/>
            <w:noWrap w:val="false"/>
          </w:tcPr>
          <w:p>
            <w:p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详细阐述所投产品储存、</w:t>
            </w:r>
            <w:r>
              <w:rPr>
                <w:rFonts w:hint="eastAsia" w:ascii="宋体" w:hAnsi="宋体" w:cs="宋体"/>
                <w:bCs/>
                <w:color w:val="000000"/>
                <w:sz w:val="24"/>
                <w:szCs w:val="24"/>
                <w:highlight w:val="none"/>
                <w:lang w:val="en-US" w:eastAsia="zh-CN"/>
              </w:rPr>
              <w:t xml:space="preserve">包装、</w:t>
            </w:r>
            <w:r>
              <w:rPr>
                <w:rFonts w:hint="eastAsia" w:ascii="宋体" w:hAnsi="宋体" w:eastAsia="宋体" w:cs="宋体"/>
                <w:bCs/>
                <w:color w:val="000000"/>
                <w:sz w:val="24"/>
                <w:szCs w:val="24"/>
                <w:highlight w:val="none"/>
                <w:lang w:val="en-US" w:eastAsia="zh-CN" w:bidi="ar-SA"/>
              </w:rPr>
              <w:t xml:space="preserve">运输、保管和使用等技术要领、方略和建议方案等。</w:t>
            </w:r>
            <w:r/>
          </w:p>
          <w:p>
            <w:pPr>
              <w:numPr>
                <w:ilvl w:val="0"/>
                <w:numId w:val="0"/>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1.方案内容非常完善、合理且可操作性强的得8分；</w:t>
            </w:r>
            <w:r/>
          </w:p>
          <w:p>
            <w:pPr>
              <w:numPr>
                <w:ilvl w:val="0"/>
                <w:numId w:val="0"/>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2.方案内容较为完善、较合理且有可操作性的得6分；</w:t>
            </w:r>
            <w:r/>
          </w:p>
          <w:p>
            <w:pPr>
              <w:numPr>
                <w:ilvl w:val="0"/>
                <w:numId w:val="0"/>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3.方案</w:t>
            </w:r>
            <w:r>
              <w:rPr>
                <w:rFonts w:hint="eastAsia" w:ascii="宋体" w:hAnsi="宋体" w:cs="宋体"/>
                <w:bCs/>
                <w:color w:val="000000"/>
                <w:sz w:val="24"/>
                <w:szCs w:val="24"/>
                <w:highlight w:val="none"/>
                <w:lang w:val="en-US" w:eastAsia="zh-CN" w:bidi="ar-SA"/>
              </w:rPr>
              <w:t xml:space="preserve">内容简单、</w:t>
            </w:r>
            <w:r>
              <w:rPr>
                <w:rFonts w:hint="eastAsia" w:ascii="宋体" w:hAnsi="宋体" w:eastAsia="宋体" w:cs="宋体"/>
                <w:bCs/>
                <w:color w:val="000000"/>
                <w:sz w:val="24"/>
                <w:szCs w:val="24"/>
                <w:highlight w:val="none"/>
                <w:lang w:val="en-US" w:eastAsia="zh-CN" w:bidi="ar-SA"/>
              </w:rPr>
              <w:t xml:space="preserve">可操作性</w:t>
            </w:r>
            <w:r>
              <w:rPr>
                <w:rFonts w:hint="eastAsia" w:ascii="宋体" w:hAnsi="宋体" w:cs="宋体"/>
                <w:bCs/>
                <w:color w:val="000000"/>
                <w:sz w:val="24"/>
                <w:szCs w:val="24"/>
                <w:highlight w:val="none"/>
                <w:lang w:val="en-US" w:eastAsia="zh-CN" w:bidi="ar-SA"/>
              </w:rPr>
              <w:t xml:space="preserve">略有欠缺</w:t>
            </w:r>
            <w:r>
              <w:rPr>
                <w:rFonts w:hint="eastAsia" w:ascii="宋体" w:hAnsi="宋体" w:eastAsia="宋体" w:cs="宋体"/>
                <w:bCs/>
                <w:color w:val="000000"/>
                <w:sz w:val="24"/>
                <w:szCs w:val="24"/>
                <w:highlight w:val="none"/>
                <w:lang w:val="en-US" w:eastAsia="zh-CN" w:bidi="ar-SA"/>
              </w:rPr>
              <w:t xml:space="preserve">的得4分；</w:t>
            </w:r>
            <w:r/>
          </w:p>
          <w:p>
            <w:pPr>
              <w:numPr>
                <w:ilvl w:val="0"/>
                <w:numId w:val="0"/>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4.方案内容</w:t>
            </w:r>
            <w:r>
              <w:rPr>
                <w:rFonts w:hint="eastAsia" w:ascii="宋体" w:hAnsi="宋体" w:cs="宋体"/>
                <w:bCs/>
                <w:color w:val="000000"/>
                <w:sz w:val="24"/>
                <w:szCs w:val="24"/>
                <w:highlight w:val="none"/>
                <w:lang w:val="en-US" w:eastAsia="zh-CN" w:bidi="ar-SA"/>
              </w:rPr>
              <w:t xml:space="preserve">粗糙</w:t>
            </w:r>
            <w:r>
              <w:rPr>
                <w:rFonts w:hint="eastAsia" w:ascii="宋体" w:hAnsi="宋体" w:eastAsia="宋体" w:cs="宋体"/>
                <w:bCs/>
                <w:color w:val="000000"/>
                <w:sz w:val="24"/>
                <w:szCs w:val="24"/>
                <w:highlight w:val="none"/>
                <w:lang w:val="en-US" w:eastAsia="zh-CN" w:bidi="ar-SA"/>
              </w:rPr>
              <w:t xml:space="preserve">、不太合理且可操作性差的得2分；</w:t>
            </w:r>
            <w:r/>
          </w:p>
          <w:p>
            <w:pPr>
              <w:numPr>
                <w:ilvl w:val="0"/>
                <w:numId w:val="0"/>
              </w:numP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未提供不得分。</w:t>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供应能力保障体系</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W w:w="3995" w:type="dxa"/>
            <w:vAlign w:val="center"/>
            <w:textDirection w:val="lrTb"/>
            <w:noWrap w:val="false"/>
          </w:tcPr>
          <w:p>
            <w:pPr>
              <w:pStyle w:val="1081"/>
              <w:jc w:val="both"/>
              <w:keepLines w:val="0"/>
              <w:keepNext w:val="0"/>
              <w:pageBreakBefore w:val="0"/>
              <w:spacing w:line="340" w:lineRule="exact"/>
              <w:widowControl w:val="off"/>
              <w:rPr>
                <w:rFonts w:hint="eastAsia" w:ascii="宋体" w:hAnsi="宋体" w:eastAsia="宋体" w:cs="宋体"/>
                <w:bCs/>
                <w:color w:val="000000"/>
                <w:sz w:val="24"/>
                <w:szCs w:val="24"/>
                <w:highlight w:val="yellow"/>
                <w:lang w:val="en-US" w:eastAsia="zh-CN" w:bidi="ar-SA"/>
              </w:rPr>
            </w:pPr>
            <w:r>
              <w:rPr>
                <w:rFonts w:hint="eastAsia" w:ascii="宋体" w:hAnsi="宋体" w:eastAsia="宋体" w:cs="宋体"/>
                <w:bCs/>
                <w:color w:val="000000"/>
                <w:sz w:val="24"/>
                <w:szCs w:val="24"/>
                <w:highlight w:val="none"/>
                <w:lang w:val="en-US" w:eastAsia="zh-CN" w:bidi="ar-SA"/>
              </w:rPr>
              <w:t xml:space="preserve">根据投标人制定的针对本项目的供应能力保障体系及保障措施，</w:t>
            </w:r>
            <w:r>
              <w:rPr>
                <w:rFonts w:hint="eastAsia" w:ascii="宋体" w:hAnsi="宋体" w:eastAsia="宋体" w:cs="宋体"/>
                <w:bCs/>
                <w:color w:val="000000"/>
                <w:sz w:val="24"/>
                <w:szCs w:val="24"/>
                <w:highlight w:val="none"/>
                <w:lang w:val="en-US" w:eastAsia="zh-CN" w:bidi="ar-SA"/>
              </w:rPr>
              <w:t xml:space="preserve">包括但不限于原材料储备、产能保障等内容进行综合评分。</w:t>
            </w:r>
            <w:r/>
          </w:p>
          <w:p>
            <w:pPr>
              <w:pStyle w:val="1081"/>
              <w:numPr>
                <w:ilvl w:val="0"/>
                <w:numId w:val="0"/>
              </w:numPr>
              <w:jc w:val="both"/>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1.保障能力强、完全满足项目需求的，得8分；</w:t>
            </w:r>
            <w:r/>
          </w:p>
          <w:p>
            <w:pPr>
              <w:pStyle w:val="1081"/>
              <w:numPr>
                <w:ilvl w:val="0"/>
                <w:numId w:val="0"/>
              </w:numPr>
              <w:jc w:val="both"/>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2.保障能力较强、</w:t>
            </w:r>
            <w:r>
              <w:rPr>
                <w:rFonts w:hint="eastAsia" w:ascii="宋体" w:hAnsi="宋体" w:cs="宋体"/>
                <w:bCs/>
                <w:color w:val="000000"/>
                <w:sz w:val="24"/>
                <w:szCs w:val="24"/>
                <w:highlight w:val="none"/>
                <w:lang w:val="en-US" w:eastAsia="zh-CN" w:bidi="ar-SA"/>
              </w:rPr>
              <w:t xml:space="preserve">基本</w:t>
            </w:r>
            <w:r>
              <w:rPr>
                <w:rFonts w:hint="eastAsia" w:ascii="宋体" w:hAnsi="宋体" w:eastAsia="宋体" w:cs="宋体"/>
                <w:bCs/>
                <w:color w:val="000000"/>
                <w:sz w:val="24"/>
                <w:szCs w:val="24"/>
                <w:highlight w:val="none"/>
                <w:lang w:val="en-US" w:eastAsia="zh-CN" w:bidi="ar-SA"/>
              </w:rPr>
              <w:t xml:space="preserve">满足项目需求的，得6分；</w:t>
            </w:r>
            <w:r/>
          </w:p>
          <w:p>
            <w:pPr>
              <w:pStyle w:val="1081"/>
              <w:numPr>
                <w:ilvl w:val="0"/>
                <w:numId w:val="0"/>
              </w:numPr>
              <w:jc w:val="both"/>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3.保障能力</w:t>
            </w:r>
            <w:r>
              <w:rPr>
                <w:rFonts w:hint="eastAsia" w:ascii="宋体" w:hAnsi="宋体" w:cs="宋体"/>
                <w:bCs/>
                <w:color w:val="000000"/>
                <w:sz w:val="24"/>
                <w:szCs w:val="24"/>
                <w:highlight w:val="none"/>
                <w:lang w:val="en-US" w:eastAsia="zh-CN" w:bidi="ar-SA"/>
              </w:rPr>
              <w:t xml:space="preserve">相对较弱</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cs="宋体"/>
                <w:bCs/>
                <w:color w:val="000000"/>
                <w:sz w:val="24"/>
                <w:szCs w:val="24"/>
                <w:highlight w:val="none"/>
                <w:lang w:val="en-US" w:eastAsia="zh-CN" w:bidi="ar-SA"/>
              </w:rPr>
              <w:t xml:space="preserve">相对</w:t>
            </w:r>
            <w:r>
              <w:rPr>
                <w:rFonts w:hint="eastAsia" w:ascii="宋体" w:hAnsi="宋体" w:eastAsia="宋体" w:cs="宋体"/>
                <w:bCs/>
                <w:color w:val="000000"/>
                <w:sz w:val="24"/>
                <w:szCs w:val="24"/>
                <w:highlight w:val="none"/>
                <w:lang w:val="en-US" w:eastAsia="zh-CN" w:bidi="ar-SA"/>
              </w:rPr>
              <w:t xml:space="preserve">满足项目需求的，得4分；</w:t>
            </w:r>
            <w:r/>
          </w:p>
          <w:p>
            <w:pPr>
              <w:pStyle w:val="1081"/>
              <w:numPr>
                <w:ilvl w:val="0"/>
                <w:numId w:val="0"/>
              </w:numPr>
              <w:jc w:val="both"/>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4.保障能力较差、不能满足项目需求的，得2分；</w:t>
            </w:r>
            <w:r/>
          </w:p>
          <w:p>
            <w:pPr>
              <w:pStyle w:val="1041"/>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未提供不得分。</w:t>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应急预案</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3995" w:type="dxa"/>
            <w:vAlign w:val="center"/>
            <w:textDirection w:val="lrTb"/>
            <w:noWrap w:val="false"/>
          </w:tcPr>
          <w:p>
            <w:pPr>
              <w:pStyle w:val="1300"/>
              <w:ind w:left="68"/>
              <w:spacing w:before="69" w:line="219"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根据投标人制定的针对本项目的应急预案，包括但不限于原材料短缺、产品质量异常、运输延误等场景的应急措施等内容进行综合评分。</w:t>
            </w:r>
            <w:r/>
          </w:p>
          <w:p>
            <w:pPr>
              <w:pStyle w:val="1300"/>
              <w:numPr>
                <w:ilvl w:val="0"/>
                <w:numId w:val="12"/>
              </w:numPr>
              <w:ind w:left="68"/>
              <w:spacing w:before="69" w:line="219"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内容全面且针对性强的，得</w:t>
            </w:r>
            <w:r>
              <w:rPr>
                <w:rFonts w:hint="eastAsia"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lang w:val="en-US" w:eastAsia="zh-CN" w:bidi="ar-SA"/>
              </w:rPr>
              <w:t xml:space="preserve">分；</w:t>
            </w:r>
            <w:r/>
          </w:p>
          <w:p>
            <w:pPr>
              <w:pStyle w:val="1300"/>
              <w:numPr>
                <w:ilvl w:val="0"/>
                <w:numId w:val="12"/>
              </w:numPr>
              <w:ind w:left="68"/>
              <w:spacing w:before="69" w:line="219"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内容较全面，针对性较强，得3分；</w:t>
            </w:r>
            <w:r/>
          </w:p>
          <w:p>
            <w:pPr>
              <w:pStyle w:val="1300"/>
              <w:numPr>
                <w:ilvl w:val="0"/>
                <w:numId w:val="12"/>
              </w:numPr>
              <w:ind w:left="68"/>
              <w:spacing w:before="69" w:line="219"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内容简单，针对性较弱，得1分；</w:t>
            </w:r>
            <w:r/>
          </w:p>
          <w:p>
            <w:pPr>
              <w:pStyle w:val="1300"/>
              <w:numPr>
                <w:ilvl w:val="0"/>
                <w:numId w:val="0"/>
              </w:numPr>
              <w:spacing w:before="69" w:line="219" w:lineRule="auto"/>
              <w:rPr>
                <w:rFonts w:hint="eastAsia"/>
                <w:spacing w:val="-2"/>
                <w:lang w:val="en-US" w:eastAsia="zh-CN"/>
              </w:rPr>
            </w:pPr>
            <w:r>
              <w:rPr>
                <w:rFonts w:hint="eastAsia" w:ascii="宋体" w:hAnsi="宋体" w:eastAsia="宋体" w:cs="宋体"/>
                <w:bCs/>
                <w:color w:val="000000"/>
                <w:sz w:val="24"/>
                <w:szCs w:val="24"/>
                <w:highlight w:val="none"/>
                <w:lang w:val="en-US" w:eastAsia="zh-CN" w:bidi="ar-SA"/>
              </w:rPr>
              <w:t xml:space="preserve">未提供的不得分。</w:t>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4"/>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客观分</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31</w:t>
            </w:r>
            <w:r/>
          </w:p>
        </w:tc>
        <w:tc>
          <w:tcPr>
            <w:tcW w:w="3995"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c>
          <w:tcPr>
            <w:tcW w:w="1886"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4"/>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3.1</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业绩</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14</w:t>
            </w:r>
            <w:r/>
          </w:p>
        </w:tc>
        <w:tc>
          <w:tcPr>
            <w:tcW w:w="3995" w:type="dxa"/>
            <w:vAlign w:val="center"/>
            <w:textDirection w:val="lrTb"/>
            <w:noWrap w:val="false"/>
          </w:tcPr>
          <w:p>
            <w:pPr>
              <w:ind w:firstLine="28"/>
              <w:jc w:val="left"/>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1.投标人具备20</w:t>
            </w:r>
            <w:r>
              <w:rPr>
                <w:rFonts w:hint="eastAsia" w:ascii="宋体" w:hAnsi="宋体" w:cs="宋体"/>
                <w:bCs/>
                <w:color w:val="000000"/>
                <w:sz w:val="24"/>
                <w:szCs w:val="24"/>
                <w:highlight w:val="none"/>
                <w:lang w:val="en-US" w:eastAsia="zh-CN" w:bidi="ar-SA"/>
              </w:rPr>
              <w:t xml:space="preserve">22</w:t>
            </w:r>
            <w:r>
              <w:rPr>
                <w:rFonts w:hint="eastAsia" w:ascii="宋体" w:hAnsi="宋体" w:eastAsia="宋体" w:cs="宋体"/>
                <w:bCs/>
                <w:color w:val="000000"/>
                <w:sz w:val="24"/>
                <w:szCs w:val="24"/>
                <w:highlight w:val="none"/>
                <w:lang w:val="en-US" w:eastAsia="zh-CN" w:bidi="ar-SA"/>
              </w:rPr>
              <w:t xml:space="preserve">年12月1日以来核心产品销售业绩，每提供一项得3分，最高得9分。</w:t>
            </w:r>
            <w:r/>
          </w:p>
          <w:p>
            <w:pPr>
              <w:ind w:firstLine="28"/>
              <w:jc w:val="left"/>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2.投标人具备20</w:t>
            </w:r>
            <w:r>
              <w:rPr>
                <w:rFonts w:hint="eastAsia" w:ascii="宋体" w:hAnsi="宋体" w:cs="宋体"/>
                <w:bCs/>
                <w:color w:val="000000"/>
                <w:sz w:val="24"/>
                <w:szCs w:val="24"/>
                <w:highlight w:val="none"/>
                <w:lang w:val="en-US" w:eastAsia="zh-CN" w:bidi="ar-SA"/>
              </w:rPr>
              <w:t xml:space="preserve">22</w:t>
            </w:r>
            <w:r>
              <w:rPr>
                <w:rFonts w:hint="eastAsia" w:ascii="宋体" w:hAnsi="宋体" w:eastAsia="宋体" w:cs="宋体"/>
                <w:bCs/>
                <w:color w:val="000000"/>
                <w:sz w:val="24"/>
                <w:szCs w:val="24"/>
                <w:highlight w:val="none"/>
                <w:lang w:val="en-US" w:eastAsia="zh-CN" w:bidi="ar-SA"/>
              </w:rPr>
              <w:t xml:space="preserve">年12月1日以来非核心产品销售业绩，每提供一项得1分，最高得5分。</w:t>
            </w:r>
            <w:r/>
          </w:p>
        </w:tc>
        <w:tc>
          <w:tcPr>
            <w:tcW w:w="1886" w:type="dxa"/>
            <w:vAlign w:val="center"/>
            <w:textDirection w:val="lrTb"/>
            <w:noWrap w:val="false"/>
          </w:tcPr>
          <w:p>
            <w:pPr>
              <w:jc w:val="left"/>
              <w:keepLines w:val="0"/>
              <w:keepNext w:val="0"/>
              <w:widowControl/>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提供销售合同及发票原件扫描件并加盖公章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时间以合同签订时间为准</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
              </w:rPr>
              <w:t xml:space="preserve">同一个甲方单位不得累计</w:t>
            </w:r>
            <w:r>
              <w:rPr>
                <w:rFonts w:hint="eastAsia" w:ascii="宋体" w:hAnsi="宋体" w:eastAsia="宋体" w:cs="宋体"/>
                <w:bCs/>
                <w:color w:val="000000"/>
                <w:sz w:val="24"/>
                <w:szCs w:val="24"/>
                <w:highlight w:val="none"/>
                <w:lang w:val="en-US" w:eastAsia="zh-CN"/>
              </w:rPr>
              <w:t xml:space="preserve">。</w:t>
            </w:r>
            <w:r/>
          </w:p>
          <w:p>
            <w:pP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4"/>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3.2</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运输车辆</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w:t>
            </w:r>
            <w:r/>
          </w:p>
        </w:tc>
        <w:tc>
          <w:tcPr>
            <w:tcW w:w="3995" w:type="dxa"/>
            <w:vAlign w:val="center"/>
            <w:textDirection w:val="lrTb"/>
            <w:noWrap w:val="false"/>
          </w:tcPr>
          <w:p>
            <w:pPr>
              <w:ind w:firstLine="28"/>
              <w:jc w:val="left"/>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运输设备：投标单位自有或租赁运输车辆，得5分。</w:t>
            </w:r>
            <w:r/>
          </w:p>
        </w:tc>
        <w:tc>
          <w:tcPr>
            <w:tcW w:w="1886" w:type="dxa"/>
            <w:vAlign w:val="center"/>
            <w:textDirection w:val="lrTb"/>
            <w:noWrap w:val="false"/>
          </w:tcPr>
          <w:p>
            <w:pPr>
              <w:numPr>
                <w:ilvl w:val="0"/>
                <w:numId w:val="13"/>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提供自有车辆的购置发票、道路运输经营许可证原件扫描件</w:t>
            </w:r>
            <w:r>
              <w:rPr>
                <w:rFonts w:hint="eastAsia" w:ascii="宋体" w:hAnsi="宋体" w:eastAsia="宋体" w:cs="宋体"/>
                <w:bCs/>
                <w:color w:val="000000"/>
                <w:sz w:val="24"/>
                <w:szCs w:val="24"/>
                <w:highlight w:val="none"/>
                <w:lang w:val="en-US" w:eastAsia="zh-CN"/>
              </w:rPr>
              <w:t xml:space="preserve">并加盖公章</w:t>
            </w:r>
            <w:r>
              <w:rPr>
                <w:rFonts w:hint="eastAsia" w:ascii="宋体" w:hAnsi="宋体" w:eastAsia="宋体" w:cs="宋体"/>
                <w:bCs/>
                <w:color w:val="000000"/>
                <w:sz w:val="24"/>
                <w:szCs w:val="24"/>
                <w:highlight w:val="none"/>
                <w:lang w:val="en-US" w:eastAsia="zh-CN" w:bidi="ar-SA"/>
              </w:rPr>
              <w:t xml:space="preserve">。否则不得分。</w:t>
            </w:r>
            <w:r/>
          </w:p>
          <w:p>
            <w:pPr>
              <w:numPr>
                <w:ilvl w:val="0"/>
                <w:numId w:val="0"/>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2.如车辆为租赁的，须提供不少于一年（本项目开标当日往前推算，以租赁合同时间为准）的租赁合同、租赁发票原件扫描件及车辆所属单位的道路运输经营许可证原件扫描件</w:t>
            </w:r>
            <w:r>
              <w:rPr>
                <w:rFonts w:hint="eastAsia" w:ascii="宋体" w:hAnsi="宋体" w:eastAsia="宋体" w:cs="宋体"/>
                <w:bCs/>
                <w:color w:val="000000"/>
                <w:sz w:val="24"/>
                <w:szCs w:val="24"/>
                <w:highlight w:val="none"/>
                <w:lang w:val="en-US" w:eastAsia="zh-CN"/>
              </w:rPr>
              <w:t xml:space="preserve">并加盖公章</w:t>
            </w:r>
            <w:r>
              <w:rPr>
                <w:rFonts w:hint="eastAsia" w:ascii="宋体" w:hAnsi="宋体" w:eastAsia="宋体" w:cs="宋体"/>
                <w:bCs/>
                <w:color w:val="000000"/>
                <w:sz w:val="24"/>
                <w:szCs w:val="24"/>
                <w:highlight w:val="none"/>
                <w:lang w:val="en-US" w:eastAsia="zh-CN" w:bidi="ar-SA"/>
              </w:rPr>
              <w:t xml:space="preserve">，否则不得分。</w:t>
            </w:r>
            <w:r/>
          </w:p>
        </w:tc>
      </w:tr>
      <w:tr>
        <w:trPr>
          <w:trHeight w:val="514"/>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3.3</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企业认证</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p>
        </w:tc>
        <w:tc>
          <w:tcPr>
            <w:tcW w:w="3995" w:type="dxa"/>
            <w:vAlign w:val="center"/>
            <w:textDirection w:val="lrTb"/>
            <w:noWrap w:val="false"/>
          </w:tcPr>
          <w:p>
            <w:pPr>
              <w:pStyle w:val="1300"/>
              <w:spacing w:before="60" w:line="219" w:lineRule="auto"/>
              <w:rPr>
                <w:rFonts w:hint="eastAsia" w:ascii="宋体" w:hAnsi="宋体" w:eastAsia="宋体" w:cs="宋体"/>
                <w:bCs/>
                <w:color w:val="000000"/>
                <w:sz w:val="24"/>
                <w:szCs w:val="24"/>
                <w:highlight w:val="none"/>
                <w:lang w:val="en-US" w:eastAsia="zh-CN" w:bidi="ar-SA"/>
              </w:rPr>
            </w:pPr>
            <w:r>
              <w:rPr>
                <w:spacing w:val="1"/>
                <w:highlight w:val="none"/>
              </w:rPr>
              <w:t xml:space="preserve">生产企业已取</w:t>
            </w:r>
            <w:r>
              <w:rPr>
                <w:spacing w:val="-2"/>
                <w:highlight w:val="none"/>
              </w:rPr>
              <w:t xml:space="preserve">得鳌</w:t>
            </w:r>
            <w:r>
              <w:rPr>
                <w:rFonts w:ascii="宋体" w:hAnsi="宋体" w:eastAsia="宋体" w:cs="宋体"/>
                <w:spacing w:val="-2"/>
                <w:highlight w:val="none"/>
              </w:rPr>
              <w:t xml:space="preserve">合剂生产相关的《环境影</w:t>
            </w:r>
            <w:r>
              <w:rPr>
                <w:spacing w:val="-2"/>
                <w:highlight w:val="none"/>
              </w:rPr>
              <w:t xml:space="preserve">响评价批复文件》及《排污许可证》的，得</w:t>
            </w:r>
            <w:r>
              <w:rPr>
                <w:rFonts w:hint="eastAsia"/>
                <w:spacing w:val="3"/>
                <w:highlight w:val="none"/>
                <w:lang w:val="en-US" w:eastAsia="zh-CN"/>
              </w:rPr>
              <w:t xml:space="preserve">2</w:t>
            </w:r>
            <w:r>
              <w:rPr>
                <w:spacing w:val="-8"/>
                <w:highlight w:val="none"/>
              </w:rPr>
              <w:t xml:space="preserve">分</w:t>
            </w:r>
            <w:r>
              <w:rPr>
                <w:rFonts w:hint="eastAsia"/>
                <w:spacing w:val="-8"/>
                <w:highlight w:val="none"/>
                <w:lang w:eastAsia="zh-CN"/>
              </w:rPr>
              <w:t xml:space="preserve">。</w:t>
            </w:r>
            <w:r/>
          </w:p>
        </w:tc>
        <w:tc>
          <w:tcPr>
            <w:tcW w:w="1886" w:type="dxa"/>
            <w:vAlign w:val="center"/>
            <w:textDirection w:val="lrTb"/>
            <w:noWrap w:val="false"/>
          </w:tcPr>
          <w:p>
            <w:pPr>
              <w:numPr>
                <w:ilvl w:val="0"/>
                <w:numId w:val="0"/>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提供批准文件、批准官网链接及截图扫描件</w:t>
            </w:r>
            <w:r>
              <w:rPr>
                <w:rFonts w:hint="eastAsia" w:ascii="宋体" w:hAnsi="宋体" w:eastAsia="宋体" w:cs="宋体"/>
                <w:bCs/>
                <w:color w:val="000000"/>
                <w:sz w:val="24"/>
                <w:szCs w:val="24"/>
                <w:highlight w:val="none"/>
                <w:lang w:val="en-US" w:eastAsia="zh-CN"/>
              </w:rPr>
              <w:t xml:space="preserve">并加盖公章</w:t>
            </w:r>
            <w:r>
              <w:rPr>
                <w:rFonts w:hint="eastAsia" w:ascii="宋体" w:hAnsi="宋体" w:eastAsia="宋体" w:cs="宋体"/>
                <w:bCs/>
                <w:color w:val="000000"/>
                <w:sz w:val="24"/>
                <w:szCs w:val="24"/>
                <w:highlight w:val="none"/>
                <w:lang w:val="en-US" w:eastAsia="zh-CN" w:bidi="ar-SA"/>
              </w:rPr>
              <w:t xml:space="preserve">，未提供或内容不匹配不得分。</w:t>
            </w:r>
            <w:r/>
          </w:p>
        </w:tc>
      </w:tr>
      <w:tr>
        <w:trPr>
          <w:trHeight w:val="514"/>
        </w:trPr>
        <w:tc>
          <w:tcPr>
            <w:tcW w:w="930"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3.4</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设备实力</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p>
        </w:tc>
        <w:tc>
          <w:tcPr>
            <w:tcW w:w="3995" w:type="dxa"/>
            <w:vAlign w:val="center"/>
            <w:textDirection w:val="lrTb"/>
            <w:noWrap w:val="false"/>
          </w:tcPr>
          <w:p>
            <w:pPr>
              <w:pStyle w:val="1300"/>
              <w:ind w:left="13" w:firstLine="99"/>
              <w:spacing w:before="81" w:line="247"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投标人或制造生产企业具备飞灰重金属检测实验设备，得2分。</w:t>
            </w:r>
            <w:r/>
          </w:p>
        </w:tc>
        <w:tc>
          <w:tcPr>
            <w:tcW w:w="1886" w:type="dxa"/>
            <w:vAlign w:val="center"/>
            <w:textDirection w:val="lrTb"/>
            <w:noWrap w:val="false"/>
          </w:tcPr>
          <w:p>
            <w:pPr>
              <w:numPr>
                <w:ilvl w:val="0"/>
                <w:numId w:val="0"/>
              </w:numPr>
              <w:keepLines w:val="0"/>
              <w:keepNext w:val="0"/>
              <w:pageBreakBefore w:val="0"/>
              <w:spacing w:line="3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1.提供自有设备的购置发票原件扫描件</w:t>
            </w:r>
            <w:r>
              <w:rPr>
                <w:rFonts w:hint="eastAsia" w:ascii="宋体" w:hAnsi="宋体" w:eastAsia="宋体" w:cs="宋体"/>
                <w:bCs/>
                <w:color w:val="000000"/>
                <w:sz w:val="24"/>
                <w:szCs w:val="24"/>
                <w:highlight w:val="none"/>
                <w:lang w:val="en-US" w:eastAsia="zh-CN"/>
              </w:rPr>
              <w:t xml:space="preserve">并加盖公章</w:t>
            </w:r>
            <w:r>
              <w:rPr>
                <w:rFonts w:hint="eastAsia" w:ascii="宋体" w:hAnsi="宋体" w:eastAsia="宋体" w:cs="宋体"/>
                <w:bCs/>
                <w:color w:val="000000"/>
                <w:sz w:val="24"/>
                <w:szCs w:val="24"/>
                <w:highlight w:val="none"/>
                <w:lang w:val="en-US" w:eastAsia="zh-CN" w:bidi="ar-SA"/>
              </w:rPr>
              <w:t xml:space="preserve">。否则不得分。</w:t>
            </w:r>
            <w:r/>
          </w:p>
          <w:p>
            <w:pPr>
              <w:pStyle w:val="1300"/>
              <w:spacing w:before="81" w:line="247"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2.如设备为租赁的，须提供不少于一年（本项目开标当日往前推算，以租赁合同时间为准）的租赁合同、租赁发票原件扫描件</w:t>
            </w:r>
            <w:r>
              <w:rPr>
                <w:rFonts w:hint="eastAsia" w:ascii="宋体" w:hAnsi="宋体" w:eastAsia="宋体" w:cs="宋体"/>
                <w:bCs/>
                <w:color w:val="000000"/>
                <w:sz w:val="24"/>
                <w:szCs w:val="24"/>
                <w:highlight w:val="none"/>
                <w:lang w:val="en-US" w:eastAsia="zh-CN"/>
              </w:rPr>
              <w:t xml:space="preserve">并加盖公章</w:t>
            </w:r>
            <w:r>
              <w:rPr>
                <w:rFonts w:hint="eastAsia" w:ascii="宋体" w:hAnsi="宋体" w:eastAsia="宋体" w:cs="宋体"/>
                <w:bCs/>
                <w:color w:val="000000"/>
                <w:sz w:val="24"/>
                <w:szCs w:val="24"/>
                <w:highlight w:val="none"/>
                <w:lang w:val="en-US" w:eastAsia="zh-CN" w:bidi="ar-SA"/>
              </w:rPr>
              <w:t xml:space="preserve">，否则不得分。</w:t>
            </w:r>
            <w:r/>
          </w:p>
        </w:tc>
      </w:tr>
      <w:tr>
        <w:trPr>
          <w:trHeight w:val="90"/>
        </w:trPr>
        <w:tc>
          <w:tcPr>
            <w:tcW w:w="930"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3.5</w:t>
            </w:r>
            <w:r/>
          </w:p>
        </w:tc>
        <w:tc>
          <w:tcPr>
            <w:tcW w:w="1349"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b w:val="0"/>
                <w:bCs/>
                <w:color w:val="000000"/>
                <w:sz w:val="24"/>
                <w:szCs w:val="24"/>
                <w:highlight w:val="none"/>
                <w:u w:val="none"/>
                <w:lang w:val="en-US" w:eastAsia="zh-CN" w:bidi="ar-SA"/>
              </w:rPr>
            </w:pPr>
            <w:r>
              <w:rPr>
                <w:rFonts w:hint="eastAsia" w:ascii="宋体" w:hAnsi="宋体" w:cs="宋体"/>
                <w:b w:val="0"/>
                <w:bCs/>
                <w:color w:val="000000"/>
                <w:sz w:val="24"/>
                <w:szCs w:val="24"/>
                <w:highlight w:val="none"/>
                <w:u w:val="none"/>
                <w:lang w:val="en-US" w:eastAsia="zh-CN" w:bidi="ar-SA"/>
              </w:rPr>
              <w:t xml:space="preserve">服务保障能力</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default"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8</w:t>
            </w:r>
            <w:r/>
          </w:p>
        </w:tc>
        <w:tc>
          <w:tcPr>
            <w:tcW w:w="3995" w:type="dxa"/>
            <w:vAlign w:val="center"/>
            <w:textDirection w:val="lrTb"/>
            <w:noWrap w:val="false"/>
          </w:tcPr>
          <w:p>
            <w:pPr>
              <w:pStyle w:val="1041"/>
              <w:numPr>
                <w:ilvl w:val="0"/>
                <w:numId w:val="14"/>
              </w:numP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投标人在本地已有服务网点或承诺中标后在本地设置服务网点的，得4分。</w:t>
            </w:r>
            <w:r/>
          </w:p>
          <w:p>
            <w:pPr>
              <w:pStyle w:val="1041"/>
              <w:numPr>
                <w:ilvl w:val="0"/>
                <w:numId w:val="14"/>
              </w:numPr>
              <w:ind w:left="0" w:firstLine="0"/>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承诺中标后，如采购人临时紧急通知送货，12小时以内可以送货到现场，得4分。24小时以内可以送货到现场，得2分。</w:t>
            </w:r>
            <w:r/>
          </w:p>
        </w:tc>
        <w:tc>
          <w:tcPr>
            <w:tcW w:w="1886" w:type="dxa"/>
            <w:vAlign w:val="center"/>
            <w:textDirection w:val="lrTb"/>
            <w:noWrap w:val="false"/>
          </w:tcPr>
          <w:p>
            <w:pPr>
              <w:pStyle w:val="1041"/>
              <w:numPr>
                <w:ilvl w:val="0"/>
                <w:numId w:val="0"/>
              </w:numPr>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提供服务网点的房产证明或租赁协议或合作协议</w:t>
            </w:r>
            <w:r>
              <w:rPr>
                <w:rFonts w:hint="eastAsia" w:ascii="宋体" w:hAnsi="宋体" w:cs="宋体"/>
                <w:bCs/>
                <w:color w:val="000000"/>
                <w:sz w:val="24"/>
                <w:szCs w:val="24"/>
                <w:highlight w:val="none"/>
                <w:lang w:val="en-US" w:eastAsia="zh-CN" w:bidi="ar-SA"/>
              </w:rPr>
              <w:t xml:space="preserve">或</w:t>
            </w:r>
            <w:r>
              <w:rPr>
                <w:rFonts w:hint="eastAsia" w:ascii="宋体" w:hAnsi="宋体" w:eastAsia="宋体" w:cs="宋体"/>
                <w:bCs/>
                <w:color w:val="000000"/>
                <w:sz w:val="24"/>
                <w:szCs w:val="24"/>
                <w:highlight w:val="none"/>
                <w:lang w:val="en-US" w:eastAsia="zh-CN" w:bidi="ar-SA"/>
              </w:rPr>
              <w:t xml:space="preserve">承诺函并加盖公章，否则不得分。</w:t>
            </w:r>
            <w:r/>
          </w:p>
          <w:p>
            <w:pPr>
              <w:pStyle w:val="1041"/>
              <w:numPr>
                <w:ilvl w:val="0"/>
                <w:numId w:val="0"/>
              </w:numPr>
              <w:rPr>
                <w:rFonts w:hint="default"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提供临时紧急通知送货</w:t>
            </w:r>
            <w:r>
              <w:rPr>
                <w:rFonts w:hint="eastAsia" w:ascii="宋体" w:hAnsi="宋体" w:cs="宋体"/>
                <w:bCs/>
                <w:color w:val="000000"/>
                <w:sz w:val="24"/>
                <w:szCs w:val="24"/>
                <w:highlight w:val="none"/>
                <w:lang w:val="en-US" w:eastAsia="zh-CN" w:bidi="ar-SA"/>
              </w:rPr>
              <w:t xml:space="preserve">时间</w:t>
            </w:r>
            <w:r>
              <w:rPr>
                <w:rFonts w:hint="eastAsia" w:ascii="宋体" w:hAnsi="宋体" w:eastAsia="宋体" w:cs="宋体"/>
                <w:bCs/>
                <w:color w:val="000000"/>
                <w:sz w:val="24"/>
                <w:szCs w:val="24"/>
                <w:highlight w:val="none"/>
                <w:lang w:val="en-US" w:eastAsia="zh-CN" w:bidi="ar-SA"/>
              </w:rPr>
              <w:t xml:space="preserve">承诺函并加盖公章，否则不得分。</w:t>
            </w:r>
            <w:r/>
          </w:p>
        </w:tc>
      </w:tr>
      <w:tr>
        <w:trPr>
          <w:trHeight w:val="543"/>
        </w:trPr>
        <w:tc>
          <w:tcPr>
            <w:gridSpan w:val="2"/>
            <w:tcW w:w="2279"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953"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gridSpan w:val="2"/>
            <w:tcW w:w="5881" w:type="dxa"/>
            <w:vAlign w:val="center"/>
            <w:textDirection w:val="lrTb"/>
            <w:noWrap w:val="false"/>
          </w:tcPr>
          <w:p>
            <w:pPr>
              <w:ind w:firstLine="28"/>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96"/>
        <w:rPr>
          <w:color w:val="000000"/>
          <w:highlight w:val="none"/>
        </w:rPr>
      </w:pPr>
      <w:r>
        <w:rPr>
          <w:color w:val="000000"/>
          <w:highlight w:val="none"/>
        </w:rPr>
      </w:r>
      <w:r/>
    </w:p>
    <w:p>
      <w:pPr>
        <w:jc w:val="center"/>
        <w:spacing w:line="360" w:lineRule="auto"/>
        <w:rPr>
          <w:rFonts w:hint="eastAsia" w:ascii="宋体" w:hAnsi="宋体" w:cs="宋体"/>
          <w:b/>
          <w:color w:val="000000"/>
          <w:sz w:val="36"/>
          <w:szCs w:val="36"/>
          <w:highlight w:val="none"/>
          <w:lang w:bidi="ar"/>
        </w:rPr>
        <w:outlineLvl w:val="0"/>
      </w:pPr>
      <w:r>
        <w:rPr>
          <w:rFonts w:hint="eastAsia" w:ascii="宋体" w:hAnsi="宋体" w:cs="宋体"/>
          <w:b/>
          <w:color w:val="000000"/>
          <w:sz w:val="36"/>
          <w:szCs w:val="36"/>
          <w:highlight w:val="none"/>
          <w:lang w:bidi="ar"/>
        </w:rPr>
      </w:r>
      <w:r/>
    </w:p>
    <w:p>
      <w:pPr>
        <w:jc w:val="center"/>
        <w:spacing w:line="360" w:lineRule="auto"/>
        <w:rPr>
          <w:rFonts w:hint="eastAsia" w:ascii="宋体" w:hAnsi="宋体" w:cs="宋体"/>
          <w:b/>
          <w:color w:val="000000"/>
          <w:sz w:val="36"/>
          <w:szCs w:val="36"/>
          <w:highlight w:val="none"/>
          <w:lang w:bidi="ar"/>
        </w:rPr>
        <w:outlineLvl w:val="0"/>
      </w:pPr>
      <w:r>
        <w:rPr>
          <w:rFonts w:hint="eastAsia" w:ascii="宋体" w:hAnsi="宋体" w:cs="宋体"/>
          <w:b/>
          <w:color w:val="000000"/>
          <w:sz w:val="36"/>
          <w:szCs w:val="36"/>
          <w:highlight w:val="none"/>
          <w:lang w:bidi="ar"/>
        </w:rPr>
      </w:r>
      <w:r/>
    </w:p>
    <w:p>
      <w:pPr>
        <w:jc w:val="center"/>
        <w:spacing w:line="360" w:lineRule="auto"/>
        <w:rPr>
          <w:rFonts w:hint="eastAsia" w:ascii="宋体" w:hAnsi="宋体" w:cs="宋体"/>
          <w:b/>
          <w:color w:val="000000"/>
          <w:sz w:val="36"/>
          <w:szCs w:val="36"/>
          <w:highlight w:val="none"/>
          <w:lang w:bidi="ar"/>
        </w:rPr>
        <w:outlineLvl w:val="0"/>
      </w:pPr>
      <w:r>
        <w:rPr>
          <w:rFonts w:hint="eastAsia" w:ascii="宋体" w:hAnsi="宋体" w:cs="宋体"/>
          <w:b/>
          <w:color w:val="000000"/>
          <w:sz w:val="36"/>
          <w:szCs w:val="36"/>
          <w:highlight w:val="none"/>
          <w:lang w:bidi="ar"/>
        </w:rPr>
      </w:r>
      <w:r/>
    </w:p>
    <w:p>
      <w:pPr>
        <w:jc w:val="center"/>
        <w:spacing w:line="360" w:lineRule="auto"/>
        <w:rPr>
          <w:rFonts w:hint="eastAsia" w:ascii="宋体" w:hAnsi="宋体" w:cs="宋体"/>
          <w:b/>
          <w:color w:val="000000"/>
          <w:sz w:val="36"/>
          <w:szCs w:val="36"/>
          <w:highlight w:val="none"/>
          <w:lang w:bidi="ar"/>
        </w:rPr>
        <w:outlineLvl w:val="0"/>
      </w:pPr>
      <w:r>
        <w:rPr>
          <w:rFonts w:hint="eastAsia" w:ascii="宋体" w:hAnsi="宋体" w:cs="宋体"/>
          <w:b/>
          <w:color w:val="000000"/>
          <w:sz w:val="36"/>
          <w:szCs w:val="36"/>
          <w:highlight w:val="none"/>
          <w:lang w:bidi="ar"/>
        </w:rPr>
      </w:r>
      <w:r/>
    </w:p>
    <w:p>
      <w:pPr>
        <w:jc w:val="center"/>
        <w:spacing w:line="360" w:lineRule="auto"/>
        <w:rPr>
          <w:rFonts w:hint="eastAsia" w:ascii="宋体" w:hAnsi="宋体" w:cs="宋体"/>
          <w:b/>
          <w:color w:val="000000"/>
          <w:sz w:val="36"/>
          <w:szCs w:val="36"/>
          <w:highlight w:val="none"/>
          <w:lang w:bidi="ar"/>
        </w:rPr>
        <w:outlineLvl w:val="0"/>
      </w:pPr>
      <w:r>
        <w:rPr>
          <w:rFonts w:hint="eastAsia" w:ascii="宋体" w:hAnsi="宋体" w:cs="宋体"/>
          <w:b/>
          <w:color w:val="000000"/>
          <w:sz w:val="36"/>
          <w:szCs w:val="36"/>
          <w:highlight w:val="none"/>
          <w:lang w:bidi="ar"/>
        </w:rPr>
      </w:r>
      <w:r/>
    </w:p>
    <w:p>
      <w:pPr>
        <w:rPr>
          <w:rFonts w:hint="eastAsia" w:ascii="宋体" w:hAnsi="宋体" w:cs="宋体"/>
          <w:b/>
          <w:color w:val="000000"/>
          <w:sz w:val="36"/>
          <w:szCs w:val="36"/>
          <w:highlight w:val="none"/>
          <w:lang w:bidi="ar"/>
        </w:rPr>
      </w:pPr>
      <w:r>
        <w:rPr>
          <w:rFonts w:hint="eastAsia" w:ascii="宋体" w:hAnsi="宋体" w:cs="宋体"/>
          <w:b/>
          <w:color w:val="000000"/>
          <w:sz w:val="36"/>
          <w:szCs w:val="36"/>
          <w:highlight w:val="none"/>
          <w:lang w:bidi="ar"/>
        </w:rPr>
        <w:br w:type="page" w:clear="all"/>
      </w:r>
      <w:r/>
    </w:p>
    <w:p>
      <w:pPr>
        <w:contextualSpacing/>
        <w:jc w:val="center"/>
        <w:keepLines w:val="0"/>
        <w:keepNext w:val="0"/>
        <w:pageBreakBefore w:val="0"/>
        <w:spacing w:line="360" w:lineRule="auto"/>
        <w:widowControl w:val="off"/>
        <w:rPr>
          <w:b/>
          <w:sz w:val="36"/>
          <w:szCs w:val="36"/>
          <w:highlight w:val="yellow"/>
        </w:rPr>
      </w:pPr>
      <w:r>
        <w:rPr>
          <w:rFonts w:hint="eastAsia"/>
          <w:b/>
          <w:sz w:val="36"/>
          <w:szCs w:val="36"/>
        </w:rPr>
        <w:t xml:space="preserve">第五章、采购需求</w:t>
      </w:r>
      <w:r/>
    </w:p>
    <w:p>
      <w:pPr>
        <w:pStyle w:val="1299"/>
        <w:numPr>
          <w:ilvl w:val="0"/>
          <w:numId w:val="0"/>
        </w:numPr>
        <w:contextualSpacing/>
        <w:ind w:firstLine="482"/>
        <w:keepLines w:val="0"/>
        <w:keepNext w:val="0"/>
        <w:pageBreakBefore w:val="0"/>
        <w:spacing w:line="360" w:lineRule="auto"/>
        <w:widowControl w:val="off"/>
        <w:rPr>
          <w:rFonts w:hint="eastAsia" w:ascii="宋体" w:hAnsi="宋体" w:eastAsia="宋体" w:cs="宋体"/>
          <w:b/>
          <w:color w:val="000000"/>
          <w:sz w:val="21"/>
          <w:szCs w:val="21"/>
          <w:highlight w:val="none"/>
        </w:rPr>
      </w:pPr>
      <w:r/>
      <w:bookmarkStart w:id="791" w:name="_Toc99301425"/>
      <w:r>
        <w:rPr>
          <w:rFonts w:hint="eastAsia" w:ascii="宋体" w:hAnsi="宋体" w:eastAsia="宋体" w:cs="Times New Roman"/>
          <w:b/>
          <w:bCs/>
          <w:sz w:val="24"/>
          <w:lang w:val="en-US" w:eastAsia="zh-CN"/>
        </w:rPr>
        <w:t xml:space="preserve">一、</w:t>
      </w:r>
      <w:r>
        <w:rPr>
          <w:rFonts w:hint="eastAsia" w:ascii="宋体" w:hAnsi="宋体" w:eastAsia="宋体" w:cs="宋体"/>
          <w:b/>
          <w:color w:val="000000"/>
          <w:sz w:val="21"/>
          <w:szCs w:val="21"/>
          <w:highlight w:val="none"/>
        </w:rPr>
        <w:t xml:space="preserve">采购标的</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采购标的</w:t>
      </w:r>
      <w:r/>
    </w:p>
    <w:p>
      <w:pPr>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1.1预算金额及最高限价：</w:t>
      </w:r>
      <w:r>
        <w:rPr>
          <w:rFonts w:hint="eastAsia" w:ascii="宋体" w:hAnsi="宋体" w:eastAsia="宋体" w:cs="宋体"/>
          <w:bCs/>
          <w:color w:val="000000"/>
          <w:sz w:val="24"/>
          <w:szCs w:val="24"/>
          <w:highlight w:val="none"/>
          <w:lang w:val="en-US" w:eastAsia="zh-CN"/>
        </w:rPr>
        <w:t xml:space="preserve">237.6</w:t>
      </w:r>
      <w:r>
        <w:rPr>
          <w:rFonts w:hint="eastAsia" w:ascii="宋体" w:hAnsi="宋体" w:eastAsia="宋体" w:cs="宋体"/>
          <w:bCs/>
          <w:color w:val="000000"/>
          <w:sz w:val="24"/>
          <w:szCs w:val="24"/>
          <w:highlight w:val="none"/>
        </w:rPr>
        <w:t xml:space="preserve">万元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其中综合单价限价：</w:t>
      </w:r>
      <w:r>
        <w:rPr>
          <w:rFonts w:hint="eastAsia" w:ascii="宋体" w:hAnsi="宋体" w:eastAsia="宋体" w:cs="宋体"/>
          <w:color w:val="000000"/>
          <w:sz w:val="24"/>
          <w:szCs w:val="24"/>
          <w:highlight w:val="none"/>
        </w:rPr>
        <w:t xml:space="preserve">飞灰螯合剂（哌嗪-DTC-钾盐）</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限价</w:t>
      </w:r>
      <w:r>
        <w:rPr>
          <w:rFonts w:hint="eastAsia" w:ascii="宋体" w:hAnsi="宋体" w:eastAsia="宋体" w:cs="宋体"/>
          <w:color w:val="000000"/>
          <w:sz w:val="24"/>
          <w:szCs w:val="24"/>
          <w:highlight w:val="none"/>
          <w:lang w:val="en-US" w:eastAsia="zh-CN"/>
        </w:rPr>
        <w:t xml:space="preserve">9200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/吨；</w:t>
      </w:r>
      <w:r>
        <w:rPr>
          <w:rFonts w:hint="eastAsia" w:ascii="宋体" w:hAnsi="宋体" w:eastAsia="宋体" w:cs="宋体"/>
          <w:color w:val="000000"/>
          <w:sz w:val="24"/>
          <w:szCs w:val="24"/>
          <w:highlight w:val="none"/>
        </w:rPr>
        <w:t xml:space="preserve">飞灰螯合剂（福美钠）</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限价</w:t>
      </w:r>
      <w:r>
        <w:rPr>
          <w:rFonts w:hint="eastAsia" w:ascii="宋体" w:hAnsi="宋体" w:eastAsia="宋体" w:cs="宋体"/>
          <w:color w:val="000000"/>
          <w:sz w:val="24"/>
          <w:szCs w:val="24"/>
          <w:highlight w:val="none"/>
          <w:lang w:val="en-US" w:eastAsia="zh-CN"/>
        </w:rPr>
        <w:t xml:space="preserve">4400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/吨。</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本项目实行固定综合单价，投标单价在合同实施期间固定不变，数量按</w:t>
      </w:r>
      <w:r>
        <w:rPr>
          <w:rFonts w:hint="eastAsia" w:ascii="宋体" w:hAnsi="宋体" w:eastAsia="宋体" w:cs="宋体"/>
          <w:color w:val="000000"/>
          <w:sz w:val="24"/>
          <w:szCs w:val="24"/>
          <w:highlight w:val="none"/>
          <w:lang w:val="en-US" w:eastAsia="zh-CN"/>
        </w:rPr>
        <w:t xml:space="preserve">合格供货量</w:t>
      </w:r>
      <w:r>
        <w:rPr>
          <w:rFonts w:hint="eastAsia" w:ascii="宋体" w:hAnsi="宋体" w:eastAsia="宋体" w:cs="宋体"/>
          <w:color w:val="000000"/>
          <w:sz w:val="24"/>
          <w:szCs w:val="24"/>
          <w:highlight w:val="none"/>
        </w:rPr>
        <w:t xml:space="preserve">结算。报价表上的综合单价为含税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1.4本项目投标总价</w:t>
      </w:r>
      <w:r>
        <w:rPr>
          <w:rFonts w:hint="eastAsia" w:ascii="宋体" w:hAnsi="宋体" w:eastAsia="宋体" w:cs="宋体"/>
          <w:b/>
          <w:bCs/>
          <w:color w:val="000000"/>
          <w:sz w:val="24"/>
          <w:szCs w:val="24"/>
          <w:highlight w:val="none"/>
        </w:rPr>
        <w:t xml:space="preserve">不得超过最高限价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飞灰</w:t>
      </w:r>
      <w:r>
        <w:rPr>
          <w:rFonts w:hint="eastAsia" w:ascii="宋体" w:hAnsi="宋体" w:eastAsia="宋体" w:cs="宋体"/>
          <w:b/>
          <w:bCs/>
          <w:color w:val="000000"/>
          <w:sz w:val="24"/>
          <w:szCs w:val="24"/>
          <w:highlight w:val="none"/>
        </w:rPr>
        <w:t xml:space="preserve">螯合剂</w:t>
      </w:r>
      <w:r>
        <w:rPr>
          <w:rFonts w:hint="eastAsia" w:ascii="宋体" w:hAnsi="宋体" w:eastAsia="宋体" w:cs="宋体"/>
          <w:b/>
          <w:bCs/>
          <w:color w:val="000000"/>
          <w:sz w:val="24"/>
          <w:szCs w:val="24"/>
          <w:highlight w:val="none"/>
          <w:lang w:val="en-US" w:eastAsia="zh-CN"/>
        </w:rPr>
        <w:t xml:space="preserve">综合单价</w:t>
      </w:r>
      <w:r>
        <w:rPr>
          <w:rFonts w:hint="eastAsia" w:ascii="宋体" w:hAnsi="宋体" w:eastAsia="宋体" w:cs="宋体"/>
          <w:b/>
          <w:bCs/>
          <w:color w:val="000000"/>
          <w:sz w:val="24"/>
          <w:szCs w:val="24"/>
          <w:highlight w:val="none"/>
        </w:rPr>
        <w:t xml:space="preserve">不得超过</w:t>
      </w:r>
      <w:r>
        <w:rPr>
          <w:rFonts w:hint="eastAsia" w:ascii="宋体" w:hAnsi="宋体" w:eastAsia="宋体" w:cs="宋体"/>
          <w:b/>
          <w:bCs/>
          <w:color w:val="000000"/>
          <w:sz w:val="24"/>
          <w:szCs w:val="24"/>
          <w:highlight w:val="none"/>
          <w:lang w:val="en-US" w:eastAsia="zh-CN"/>
        </w:rPr>
        <w:t xml:space="preserve">综合单价限价</w:t>
      </w:r>
      <w:r>
        <w:rPr>
          <w:rFonts w:hint="eastAsia" w:ascii="宋体" w:hAnsi="宋体" w:eastAsia="宋体" w:cs="宋体"/>
          <w:b/>
          <w:bCs/>
          <w:color w:val="000000"/>
          <w:sz w:val="24"/>
          <w:szCs w:val="24"/>
          <w:highlight w:val="none"/>
        </w:rPr>
        <w:t xml:space="preserve">，否则视为无效投标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zh-CN"/>
        </w:rPr>
        <w:t xml:space="preserve">    </w:t>
      </w:r>
      <w:r>
        <w:rPr>
          <w:rFonts w:hint="eastAsia" w:ascii="宋体" w:hAnsi="宋体" w:eastAsia="宋体" w:cs="宋体"/>
          <w:color w:val="000000"/>
          <w:sz w:val="24"/>
          <w:szCs w:val="24"/>
          <w:highlight w:val="none"/>
          <w:lang w:val="zh-CN"/>
        </w:rPr>
        <w:t xml:space="preserve"> </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项目概述</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常州市环境卫生管理中心</w:t>
      </w:r>
      <w:r>
        <w:rPr>
          <w:rFonts w:hint="eastAsia" w:ascii="宋体" w:hAnsi="宋体" w:eastAsia="宋体" w:cs="宋体"/>
          <w:color w:val="000000"/>
          <w:sz w:val="24"/>
          <w:szCs w:val="24"/>
          <w:highlight w:val="none"/>
          <w:lang w:val="en-US" w:eastAsia="zh-CN"/>
        </w:rPr>
        <w:t xml:space="preserve">的生活垃圾焚烧飞灰处理用有机螯合剂的采购。</w:t>
      </w:r>
      <w:r/>
    </w:p>
    <w:p>
      <w:pPr>
        <w:pStyle w:val="1299"/>
        <w:contextualSpacing/>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
          <w:color w:val="000000"/>
          <w:sz w:val="24"/>
          <w:szCs w:val="24"/>
          <w:highlight w:val="none"/>
        </w:rPr>
        <w:t xml:space="preserve">、商务要求</w:t>
      </w:r>
      <w:r/>
    </w:p>
    <w:p>
      <w:pPr>
        <w:contextualSpacing/>
        <w:ind w:firstLine="480"/>
        <w:keepLines w:val="0"/>
        <w:keepNext w:val="0"/>
        <w:pageBreakBefore w:val="0"/>
        <w:spacing w:line="360" w:lineRule="auto"/>
        <w:widowControl w:val="off"/>
        <w:rPr>
          <w:rFonts w:hint="eastAsia" w:ascii="宋体" w:hAnsi="宋体" w:eastAsia="宋体" w:cs="宋体"/>
          <w:i/>
          <w:color w:val="000000"/>
          <w:sz w:val="24"/>
          <w:szCs w:val="24"/>
          <w:highlight w:val="none"/>
        </w:rPr>
      </w:pPr>
      <w:r>
        <w:rPr>
          <w:rFonts w:hint="eastAsia" w:ascii="宋体" w:hAnsi="宋体" w:eastAsia="宋体" w:cs="宋体"/>
          <w:color w:val="000000"/>
          <w:sz w:val="24"/>
          <w:szCs w:val="24"/>
          <w:highlight w:val="none"/>
        </w:rPr>
        <w:t xml:space="preserve">1. 交付（实施）的时间（期限）和地点（范围）</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螯合剂交货进度应满足生产的要求。螯合剂交货时间应由采购单位随时微信通知（提前1到2日通知）。采购单位一旦通知供货，中标方必须在48小时内送货项目现场。</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交货地点为常州市环境卫生管理中心焚烧综合处置中心生产车间内。</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如果中标方交货逾期超过五天以上或未按合同要求供货，采购方有权终止合同，由排名第二的供应商公司供货。排名第二的供应商公司报价与中标方结算单价之间的差价部分由原中标方支付。</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付款条件（进度和方式）</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付款方式：</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按季度结算</w:t>
      </w:r>
      <w:r>
        <w:rPr>
          <w:rFonts w:hint="eastAsia" w:hAnsi="宋体" w:eastAsia="宋体" w:cs="宋体"/>
          <w:color w:val="000000"/>
          <w:sz w:val="24"/>
          <w:szCs w:val="24"/>
          <w:highlight w:val="none"/>
          <w:lang w:val="en-US" w:eastAsia="zh-CN" w:bidi="ar-SA"/>
        </w:rPr>
        <w:t xml:space="preserve">：</w:t>
      </w:r>
      <w:r>
        <w:rPr>
          <w:rFonts w:hint="eastAsia" w:hAnsi="宋体" w:cs="宋体"/>
          <w:color w:val="000000"/>
          <w:sz w:val="24"/>
          <w:szCs w:val="24"/>
          <w:highlight w:val="none"/>
          <w:lang w:val="en-US" w:eastAsia="zh-CN" w:bidi="ar-SA"/>
        </w:rPr>
        <w:t xml:space="preserve">第一、二、三季度中标人在下季度首月10号前、第四季度在12月15日前出具增值税发票，</w:t>
      </w:r>
      <w:r>
        <w:rPr>
          <w:rFonts w:hint="eastAsia" w:ascii="宋体" w:hAnsi="宋体" w:eastAsia="宋体" w:cs="宋体"/>
          <w:color w:val="000000"/>
          <w:sz w:val="24"/>
          <w:szCs w:val="24"/>
          <w:highlight w:val="none"/>
          <w:lang w:val="en-US" w:eastAsia="zh-CN" w:bidi="ar-SA"/>
        </w:rPr>
        <w:t xml:space="preserve">采购</w:t>
      </w:r>
      <w:r>
        <w:rPr>
          <w:rFonts w:hint="eastAsia" w:hAnsi="宋体" w:cs="宋体"/>
          <w:color w:val="000000"/>
          <w:sz w:val="24"/>
          <w:szCs w:val="24"/>
          <w:highlight w:val="none"/>
          <w:lang w:val="en-US" w:eastAsia="zh-CN" w:bidi="ar-SA"/>
        </w:rPr>
        <w:t xml:space="preserve">人</w:t>
      </w:r>
      <w:r>
        <w:rPr>
          <w:rFonts w:hint="eastAsia" w:ascii="宋体" w:hAnsi="宋体" w:eastAsia="宋体" w:cs="宋体"/>
          <w:color w:val="000000"/>
          <w:sz w:val="24"/>
          <w:szCs w:val="24"/>
          <w:highlight w:val="none"/>
          <w:lang w:val="en-US" w:eastAsia="zh-CN" w:bidi="ar-SA"/>
        </w:rPr>
        <w:t xml:space="preserve">在收到中标方发票后十个工作日内结清货款。如中标方不能按照上述时间开具发票给采购方，采购方有权停止付款，由此产生的多缴税款责任由中标方承担。</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3.包装和运输</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3.1中标方应保证货物不存在危及人身及财产安全的产品缺陷，否则应承担全部法律责任。</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3.2在货物安装、运输过程中产生的一切安全责任事故由中标方承担，采购人不承担由此带来的一切经济、法律责任。</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螯合剂必须适合长途运输。包装费、包装周转费、运费以及运输途中的保险费由中标方承担。</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rPr>
        <w:t xml:space="preserve">中标方负责卸货，并卸到指定的地点，如卸料中出现洒落现象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中标方分析原因并及时清理，清理必须达到环保要求，如达不到环保要求，涉及索赔部分按商务条款执行。</w:t>
      </w:r>
      <w:r/>
    </w:p>
    <w:p>
      <w:pPr>
        <w:numPr>
          <w:ilvl w:val="0"/>
          <w:numId w:val="15"/>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售后服务（质保期）</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项目服务期间内，采购人有需要中标方派遣技术人员到现场的，中标方技术人员应在24小时内到达，</w:t>
      </w:r>
      <w:r>
        <w:rPr>
          <w:rFonts w:hint="eastAsia" w:ascii="宋体" w:hAnsi="宋体" w:eastAsia="宋体" w:cs="宋体"/>
          <w:color w:val="000000"/>
          <w:sz w:val="24"/>
          <w:szCs w:val="24"/>
          <w:highlight w:val="none"/>
          <w:lang w:val="en-US" w:eastAsia="zh-CN" w:bidi="ar-SA"/>
        </w:rPr>
        <w:t xml:space="preserve">与采购方化验室人员一起指导飞灰螯合剂配比使用量，确保飞灰处理完全达生活垃圾卫生填埋场标准（GB16889-2024），又尽可能的节约药剂用量。</w:t>
      </w:r>
      <w:r/>
    </w:p>
    <w:p>
      <w:pPr>
        <w:pStyle w:val="1299"/>
        <w:numPr>
          <w:ilvl w:val="0"/>
          <w:numId w:val="0"/>
        </w:numPr>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技术要求及采购清单</w:t>
      </w:r>
      <w:r/>
    </w:p>
    <w:p>
      <w:pPr>
        <w:pStyle w:val="1299"/>
        <w:numPr>
          <w:ilvl w:val="0"/>
          <w:numId w:val="0"/>
        </w:numPr>
        <w:contextualSpacing/>
        <w:ind w:firstLine="480"/>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飞灰处理药剂采购清单</w:t>
      </w:r>
      <w:r/>
    </w:p>
    <w:tbl>
      <w:tblPr>
        <w:tblStyle w:val="1036"/>
        <w:tblW w:w="46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4499"/>
        <w:gridCol w:w="798"/>
        <w:gridCol w:w="1714"/>
      </w:tblGrid>
      <w:tr>
        <w:trPr>
          <w:jc w:val="center"/>
        </w:trPr>
        <w:tc>
          <w:tcPr>
            <w:tcW w:w="603"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820"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500"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w:t>
            </w:r>
            <w:r/>
          </w:p>
        </w:tc>
        <w:tc>
          <w:tcPr>
            <w:tcW w:w="1074"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r>
      <w:tr>
        <w:trPr>
          <w:jc w:val="center"/>
        </w:trPr>
        <w:tc>
          <w:tcPr>
            <w:tcW w:w="603"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飞灰螯合剂（哌嗪-DTC-钾盐）</w:t>
            </w:r>
            <w:r/>
          </w:p>
        </w:tc>
        <w:tc>
          <w:tcPr>
            <w:tcW w:w="500"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t</w:t>
            </w:r>
            <w:r/>
          </w:p>
        </w:tc>
        <w:tc>
          <w:tcPr>
            <w:tcW w:w="1074"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220</w:t>
            </w:r>
            <w:r/>
          </w:p>
        </w:tc>
      </w:tr>
      <w:tr>
        <w:trPr>
          <w:jc w:val="center"/>
        </w:trPr>
        <w:tc>
          <w:tcPr>
            <w:tcW w:w="603"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飞灰螯合剂（福美钠）</w:t>
            </w:r>
            <w:r/>
          </w:p>
        </w:tc>
        <w:tc>
          <w:tcPr>
            <w:tcW w:w="500"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t</w:t>
            </w:r>
            <w:r/>
          </w:p>
        </w:tc>
        <w:tc>
          <w:tcPr>
            <w:tcW w:w="1074" w:type="dxa"/>
            <w:vAlign w:val="center"/>
            <w:textDirection w:val="lrTb"/>
            <w:noWrap w:val="false"/>
          </w:tcPr>
          <w:p>
            <w:pPr>
              <w:pStyle w:val="1297"/>
              <w:ind w:left="0" w:firstLine="0"/>
              <w:jc w:val="center"/>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w:t>
            </w:r>
            <w:r/>
          </w:p>
        </w:tc>
      </w:tr>
    </w:tbl>
    <w:p>
      <w:pPr>
        <w:ind w:firstLine="480"/>
        <w:keepLines w:val="0"/>
        <w:keepNext w:val="0"/>
        <w:pageBreakBefore w:val="0"/>
        <w:spacing w:line="360" w:lineRule="auto"/>
        <w:widowControl w:val="off"/>
        <w:rPr>
          <w:rFonts w:hint="eastAsia" w:ascii="宋体" w:hAnsi="宋体" w:eastAsia="宋体" w:cs="宋体"/>
          <w:vanish/>
          <w:color w:val="000000"/>
          <w:sz w:val="24"/>
          <w:szCs w:val="24"/>
          <w:highlight w:val="none"/>
        </w:rPr>
      </w:pPr>
      <w:r>
        <w:rPr>
          <w:rFonts w:hint="eastAsia" w:ascii="宋体" w:hAnsi="宋体" w:eastAsia="宋体" w:cs="宋体"/>
          <w:vanish/>
          <w:color w:val="000000"/>
          <w:sz w:val="24"/>
          <w:szCs w:val="24"/>
          <w:highlight w:val="none"/>
        </w:rPr>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基本要求</w:t>
      </w:r>
      <w:r/>
    </w:p>
    <w:p>
      <w:pPr>
        <w:pStyle w:val="1295"/>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螯合剂可以通过螯合剂分子与金属离子的强结合作用，将金属离子包合到螯合剂内部，该稳定化产物中，重金属的活动性显著降低，重金属不会渗漏和挥发，从而降低或消除了焚烧飞灰的环境风险。经螯合剂稳定化后的飞灰产物浸出浓度，低于《生活垃圾填埋污染</w:t>
      </w:r>
      <w:r>
        <w:rPr>
          <w:rFonts w:hint="eastAsia" w:ascii="宋体" w:hAnsi="宋体" w:eastAsia="宋体" w:cs="宋体"/>
          <w:b w:val="0"/>
          <w:bCs w:val="0"/>
          <w:color w:val="000000"/>
          <w:sz w:val="24"/>
          <w:szCs w:val="24"/>
          <w:highlight w:val="none"/>
        </w:rPr>
        <w:t xml:space="preserve">控制标准》（GB16889-20</w:t>
      </w:r>
      <w:r>
        <w:rPr>
          <w:rFonts w:hint="eastAsia" w:hAnsi="宋体" w:eastAsia="宋体" w:cs="宋体"/>
          <w:b w:val="0"/>
          <w:bCs w:val="0"/>
          <w:color w:val="000000"/>
          <w:sz w:val="24"/>
          <w:szCs w:val="24"/>
          <w:highlight w:val="none"/>
          <w:lang w:val="en-US" w:eastAsia="zh-CN"/>
        </w:rPr>
        <w:t xml:space="preserve">24</w:t>
      </w:r>
      <w:r>
        <w:rPr>
          <w:rFonts w:hint="eastAsia" w:ascii="宋体" w:hAnsi="宋体" w:eastAsia="宋体" w:cs="宋体"/>
          <w:b w:val="0"/>
          <w:bCs w:val="0"/>
          <w:color w:val="000000"/>
          <w:sz w:val="24"/>
          <w:szCs w:val="24"/>
          <w:highlight w:val="none"/>
        </w:rPr>
        <w:t xml:space="preserve">）标准的限值。</w:t>
      </w:r>
      <w:r/>
    </w:p>
    <w:p>
      <w:pPr>
        <w:pStyle w:val="1295"/>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1.2中标方</w:t>
      </w:r>
      <w:r>
        <w:rPr>
          <w:rFonts w:hint="eastAsia" w:ascii="宋体" w:hAnsi="宋体" w:eastAsia="宋体" w:cs="宋体"/>
          <w:b w:val="0"/>
          <w:bCs w:val="0"/>
          <w:color w:val="000000"/>
          <w:sz w:val="24"/>
          <w:szCs w:val="24"/>
          <w:highlight w:val="none"/>
        </w:rPr>
        <w:t xml:space="preserve">提供的螯合剂为：</w:t>
      </w:r>
      <w:r/>
    </w:p>
    <w:p>
      <w:pPr>
        <w:pStyle w:val="1295"/>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哌嗪-DTC钾盐，名称：1,4-哌嗪基二硫代氨基甲酸钾溶液，外观：淡绿色~淡橙黄色澄清液体，比重：≥1.18，有效含量不低于35%，游离碱：≤0.5%，PH值：10.5-13.5。投标人提供的哌嗪-DTC螯合剂必须各方面都达到质量标准的优良产品。螯合剂原料不能含有及飞灰处理生产过程中不能产生《恶臭污染物排放标准》(GB14554-1993)表1中1-8所列的各项成份。</w:t>
      </w:r>
      <w:r/>
    </w:p>
    <w:p>
      <w:pPr>
        <w:pStyle w:val="1295"/>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（2）福美钠，名称：二甲基二硫代氨基甲酸钠，外观：淡绿色~淡橙黄色澄清液体，比重：≥1.18，有效含量不低于40%，游离碱：≤0.5%，PH值：10.5-13.5。须为精制除味型水剂，不可使用母液。</w:t>
      </w:r>
      <w:r/>
    </w:p>
    <w:p>
      <w:pPr>
        <w:pStyle w:val="1295"/>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1.3中标方</w:t>
      </w:r>
      <w:r>
        <w:rPr>
          <w:rFonts w:hint="eastAsia" w:ascii="宋体" w:hAnsi="宋体" w:eastAsia="宋体" w:cs="宋体"/>
          <w:b w:val="0"/>
          <w:bCs w:val="0"/>
          <w:color w:val="000000"/>
          <w:sz w:val="24"/>
          <w:szCs w:val="24"/>
          <w:highlight w:val="none"/>
        </w:rPr>
        <w:t xml:space="preserve">负责飞灰固化后的报验，报验频次不得低于每月一次，报验的飞灰采样由采购单位的化验室负责，报验的第三方检测单位由采购单位指定，报验费用由</w:t>
      </w:r>
      <w:r>
        <w:rPr>
          <w:rFonts w:hint="eastAsia" w:ascii="宋体" w:hAnsi="宋体" w:eastAsia="宋体" w:cs="宋体"/>
          <w:b w:val="0"/>
          <w:bCs w:val="0"/>
          <w:color w:val="000000"/>
          <w:sz w:val="24"/>
          <w:szCs w:val="24"/>
          <w:highlight w:val="none"/>
          <w:lang w:val="en-US" w:eastAsia="zh-CN"/>
        </w:rPr>
        <w:t xml:space="preserve">中标方</w:t>
      </w:r>
      <w:r>
        <w:rPr>
          <w:rFonts w:hint="eastAsia" w:ascii="宋体" w:hAnsi="宋体" w:eastAsia="宋体" w:cs="宋体"/>
          <w:b w:val="0"/>
          <w:bCs w:val="0"/>
          <w:color w:val="000000"/>
          <w:sz w:val="24"/>
          <w:szCs w:val="24"/>
          <w:highlight w:val="none"/>
        </w:rPr>
        <w:t xml:space="preserve">负责支付，如连续两次报验不合格，</w:t>
      </w:r>
      <w:r>
        <w:rPr>
          <w:rFonts w:hint="eastAsia" w:ascii="宋体" w:hAnsi="宋体" w:eastAsia="宋体" w:cs="宋体"/>
          <w:b w:val="0"/>
          <w:bCs w:val="0"/>
          <w:color w:val="000000"/>
          <w:sz w:val="24"/>
          <w:szCs w:val="24"/>
          <w:highlight w:val="none"/>
          <w:lang w:val="en-US" w:eastAsia="zh-CN"/>
        </w:rPr>
        <w:t xml:space="preserve">中标方</w:t>
      </w:r>
      <w:r>
        <w:rPr>
          <w:rFonts w:hint="eastAsia" w:ascii="宋体" w:hAnsi="宋体" w:eastAsia="宋体" w:cs="宋体"/>
          <w:b w:val="0"/>
          <w:bCs w:val="0"/>
          <w:color w:val="000000"/>
          <w:sz w:val="24"/>
          <w:szCs w:val="24"/>
          <w:highlight w:val="none"/>
        </w:rPr>
        <w:t xml:space="preserve">必须更换产品，但更换后的产品价格不得变动，更换后固化飞灰的报验工作及费用仍由</w:t>
      </w:r>
      <w:r>
        <w:rPr>
          <w:rFonts w:hint="eastAsia" w:ascii="宋体" w:hAnsi="宋体" w:eastAsia="宋体" w:cs="宋体"/>
          <w:b w:val="0"/>
          <w:bCs w:val="0"/>
          <w:color w:val="000000"/>
          <w:sz w:val="24"/>
          <w:szCs w:val="24"/>
          <w:highlight w:val="none"/>
          <w:lang w:val="en-US" w:eastAsia="zh-CN"/>
        </w:rPr>
        <w:t xml:space="preserve">中标方</w:t>
      </w:r>
      <w:r>
        <w:rPr>
          <w:rFonts w:hint="eastAsia" w:ascii="宋体" w:hAnsi="宋体" w:eastAsia="宋体" w:cs="宋体"/>
          <w:b w:val="0"/>
          <w:bCs w:val="0"/>
          <w:color w:val="000000"/>
          <w:sz w:val="24"/>
          <w:szCs w:val="24"/>
          <w:highlight w:val="none"/>
        </w:rPr>
        <w:t xml:space="preserve">负责，如依然达不到要求，采购单位有权终止合同，在此期间产生的一切费用（包括环保费用）均由</w:t>
      </w:r>
      <w:r>
        <w:rPr>
          <w:rFonts w:hint="eastAsia" w:ascii="宋体" w:hAnsi="宋体" w:eastAsia="宋体" w:cs="宋体"/>
          <w:b w:val="0"/>
          <w:bCs w:val="0"/>
          <w:color w:val="000000"/>
          <w:sz w:val="24"/>
          <w:szCs w:val="24"/>
          <w:highlight w:val="none"/>
          <w:lang w:val="en-US" w:eastAsia="zh-CN"/>
        </w:rPr>
        <w:t xml:space="preserve">中标方</w:t>
      </w:r>
      <w:r>
        <w:rPr>
          <w:rFonts w:hint="eastAsia" w:ascii="宋体" w:hAnsi="宋体" w:eastAsia="宋体" w:cs="宋体"/>
          <w:b w:val="0"/>
          <w:bCs w:val="0"/>
          <w:color w:val="000000"/>
          <w:sz w:val="24"/>
          <w:szCs w:val="24"/>
          <w:highlight w:val="none"/>
        </w:rPr>
        <w:t xml:space="preserve">支付。</w:t>
      </w:r>
      <w:r/>
    </w:p>
    <w:p>
      <w:pPr>
        <w:pStyle w:val="1295"/>
        <w:ind w:firstLine="480"/>
        <w:jc w:val="left"/>
        <w:keepLines w:val="0"/>
        <w:keepNext w:val="0"/>
        <w:pageBreakBefore w:val="0"/>
        <w:spacing w:line="36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w:t>
      </w:r>
      <w:r>
        <w:rPr>
          <w:rFonts w:hint="eastAsia" w:hAnsi="宋体" w:cs="宋体"/>
          <w:b w:val="0"/>
          <w:bCs w:val="0"/>
          <w:color w:val="000000"/>
          <w:sz w:val="24"/>
          <w:szCs w:val="24"/>
          <w:highlight w:val="none"/>
          <w:lang w:val="en-US" w:eastAsia="zh-CN"/>
        </w:rPr>
        <w:t xml:space="preserve">投标人所投的</w:t>
      </w:r>
      <w:r>
        <w:rPr>
          <w:rFonts w:hint="eastAsia" w:ascii="宋体" w:hAnsi="宋体" w:eastAsia="宋体" w:cs="宋体"/>
          <w:b w:val="0"/>
          <w:bCs w:val="0"/>
          <w:color w:val="000000"/>
          <w:sz w:val="24"/>
          <w:szCs w:val="24"/>
          <w:highlight w:val="none"/>
        </w:rPr>
        <w:t xml:space="preserve">螯合剂应</w:t>
      </w:r>
      <w:r>
        <w:rPr>
          <w:rFonts w:hint="eastAsia" w:hAnsi="宋体" w:cs="宋体"/>
          <w:b w:val="0"/>
          <w:bCs w:val="0"/>
          <w:color w:val="000000"/>
          <w:sz w:val="24"/>
          <w:szCs w:val="24"/>
          <w:highlight w:val="none"/>
          <w:lang w:val="en-US" w:eastAsia="zh-CN"/>
        </w:rPr>
        <w:t xml:space="preserve">具有同类飞灰处理销售业绩。</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所有货物的生产、制造、安装等，各项技术标准应当符合国家标准和各项规范要</w:t>
      </w:r>
      <w:r>
        <w:rPr>
          <w:rFonts w:hint="eastAsia" w:ascii="宋体" w:hAnsi="宋体" w:eastAsia="宋体" w:cs="宋体"/>
          <w:color w:val="000000"/>
          <w:sz w:val="24"/>
          <w:szCs w:val="24"/>
          <w:highlight w:val="none"/>
        </w:rPr>
        <w:t xml:space="preserve">求；国家没有相应标准、规范的，可使用行业标准、规定。</w:t>
      </w:r>
      <w:r>
        <w:rPr>
          <w:rFonts w:hint="eastAsia" w:ascii="宋体" w:hAnsi="宋体" w:eastAsia="宋体" w:cs="宋体"/>
          <w:color w:val="000000"/>
          <w:sz w:val="24"/>
          <w:szCs w:val="24"/>
          <w:highlight w:val="none"/>
          <w:lang w:val="en-US" w:eastAsia="zh-CN"/>
        </w:rPr>
        <w:t xml:space="preserve">中标方</w:t>
      </w:r>
      <w:r>
        <w:rPr>
          <w:rFonts w:hint="eastAsia" w:ascii="宋体" w:hAnsi="宋体" w:eastAsia="宋体" w:cs="宋体"/>
          <w:color w:val="000000"/>
          <w:sz w:val="24"/>
          <w:szCs w:val="24"/>
          <w:highlight w:val="none"/>
        </w:rPr>
        <w:t xml:space="preserve">应保证所供货物、服务或其任何一部分不受第三方提出侵犯其专利权、商标权、版权和设计权的指控。应保证本项目设备涉及到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eastAsia="宋体" w:cs="宋体"/>
          <w:color w:val="000000"/>
          <w:sz w:val="24"/>
          <w:szCs w:val="24"/>
          <w:highlight w:val="none"/>
          <w:lang w:val="en-US" w:eastAsia="zh-CN"/>
        </w:rPr>
        <w:t xml:space="preserve">中标方</w:t>
      </w:r>
      <w:r>
        <w:rPr>
          <w:rFonts w:hint="eastAsia" w:ascii="宋体" w:hAnsi="宋体" w:eastAsia="宋体" w:cs="宋体"/>
          <w:color w:val="000000"/>
          <w:sz w:val="24"/>
          <w:szCs w:val="24"/>
          <w:highlight w:val="none"/>
        </w:rPr>
        <w:t xml:space="preserve">承担。</w:t>
      </w:r>
      <w:r/>
    </w:p>
    <w:p>
      <w:pPr>
        <w:pStyle w:val="1295"/>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rPr>
      </w:pPr>
      <w:r>
        <w:rPr>
          <w:rFonts w:hint="eastAsia" w:ascii="宋体" w:hAnsi="宋体" w:eastAsia="宋体" w:cs="宋体"/>
          <w:color w:val="000000"/>
          <w:sz w:val="24"/>
          <w:szCs w:val="24"/>
          <w:highlight w:val="none"/>
        </w:rPr>
        <w:t xml:space="preserve">2.  验收标准</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2.1中标方</w:t>
      </w:r>
      <w:r>
        <w:rPr>
          <w:rFonts w:hint="eastAsia" w:ascii="宋体" w:hAnsi="宋体" w:eastAsia="宋体" w:cs="宋体"/>
          <w:color w:val="000000"/>
          <w:sz w:val="24"/>
          <w:szCs w:val="24"/>
          <w:highlight w:val="none"/>
        </w:rPr>
        <w:t xml:space="preserve">在合同生效后应向采购单位提供与本合同物资有关的现场性能验收及试验标准，由第三方监测机构提供的药剂成份分析。</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验收时间为交货后的10天。在此期间，合同物资应都已达到各项技术指标，并稳定运行15天，在以后的生产中采购单位有权进行不定期的抽样验收。</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运行期间，技术指标一项或多项不能满足合同要求，</w:t>
      </w:r>
      <w:r>
        <w:rPr>
          <w:rFonts w:hint="eastAsia" w:ascii="宋体" w:hAnsi="宋体" w:eastAsia="宋体" w:cs="宋体"/>
          <w:color w:val="000000"/>
          <w:sz w:val="24"/>
          <w:szCs w:val="24"/>
          <w:highlight w:val="none"/>
          <w:lang w:val="en-US" w:eastAsia="zh-CN"/>
        </w:rPr>
        <w:t xml:space="preserve">甲乙</w:t>
      </w:r>
      <w:r>
        <w:rPr>
          <w:rFonts w:hint="eastAsia" w:ascii="宋体" w:hAnsi="宋体" w:eastAsia="宋体" w:cs="宋体"/>
          <w:color w:val="000000"/>
          <w:sz w:val="24"/>
          <w:szCs w:val="24"/>
          <w:highlight w:val="none"/>
        </w:rPr>
        <w:t xml:space="preserve">双方共同分析原因，分清责任，如属</w:t>
      </w:r>
      <w:r>
        <w:rPr>
          <w:rFonts w:hint="eastAsia" w:ascii="宋体" w:hAnsi="宋体" w:eastAsia="宋体" w:cs="宋体"/>
          <w:color w:val="000000"/>
          <w:sz w:val="24"/>
          <w:szCs w:val="24"/>
          <w:highlight w:val="none"/>
          <w:lang w:val="en-US" w:eastAsia="zh-CN"/>
        </w:rPr>
        <w:t xml:space="preserve">中标方</w:t>
      </w:r>
      <w:r>
        <w:rPr>
          <w:rFonts w:hint="eastAsia" w:ascii="宋体" w:hAnsi="宋体" w:eastAsia="宋体" w:cs="宋体"/>
          <w:color w:val="000000"/>
          <w:sz w:val="24"/>
          <w:szCs w:val="24"/>
          <w:highlight w:val="none"/>
        </w:rPr>
        <w:t xml:space="preserve">的原因，涉及索赔部分按商务条款执行。</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lang w:eastAsia="zh-CN"/>
        </w:rPr>
        <w:t xml:space="preserve">螯合剂在使用过程中不产生刺激性异味</w:t>
      </w:r>
      <w:r>
        <w:rPr>
          <w:rFonts w:hint="eastAsia" w:ascii="宋体" w:hAnsi="宋体" w:cs="宋体"/>
          <w:color w:val="000000"/>
          <w:sz w:val="24"/>
          <w:szCs w:val="24"/>
          <w:highlight w:val="none"/>
          <w:lang w:eastAsia="zh-CN"/>
        </w:rPr>
        <w:t xml:space="preserve">，投标人提供的货物须符合国家现行的《生活垃圾填埋场污染控制标准》（GB16889）、《恶臭污染物排放标准》（GB14554-93）相关要求。</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实验室试验方法说明</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按投标人所提供的三种药剂比例+水7% +飞灰100g充分混合</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把混合后的飞灰放入70℃的烘箱烘5分钟。拿出冷却至常温</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冷却至常温后的样品按《固体废物浸出毒性浸出方法醋酸缓冲溶液法 (HJ/T 300-2007)》制备浸出液</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对制备出的浸出液用ICP混标法测量出其中铜、锌、铅、镉、铍、钡、镍、铬、硒</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对照《生活垃圾填埋污染控制标准》（GB16889-20</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）标准的限值判定。</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常州市环境卫生管理中心焚烧综合处置中心飞灰处理工艺</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飞灰由卸灰阀进入计量斗称重</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计量完成的飞灰放入混合搅拌机，在搅拌的同时喷入配好的药剂溶液</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经过混合搅拌完成的飞灰进入对辊式造粒机进行造粒</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完全成型的飞灰颗粒进入成品仓</w:t>
      </w:r>
      <w:r>
        <w:rPr>
          <w:rFonts w:hint="eastAsia" w:ascii="宋体" w:hAnsi="宋体" w:eastAsia="宋体" w:cs="宋体"/>
          <w:color w:val="000000"/>
          <w:sz w:val="24"/>
          <w:szCs w:val="24"/>
          <w:highlight w:val="none"/>
          <w:lang w:eastAsia="zh-CN"/>
        </w:rPr>
        <w:t xml:space="preserve">。</w:t>
      </w:r>
      <w:r/>
    </w:p>
    <w:p>
      <w:p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经实际运行证明：药剂在生产过程中有一点程度的分解。</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.送样</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.1药剂</w:t>
      </w:r>
      <w:r>
        <w:rPr>
          <w:rFonts w:hint="eastAsia" w:ascii="宋体" w:hAnsi="宋体" w:eastAsia="宋体" w:cs="宋体"/>
          <w:b/>
          <w:bCs/>
          <w:color w:val="000000"/>
          <w:sz w:val="24"/>
          <w:szCs w:val="24"/>
          <w:highlight w:val="none"/>
        </w:rPr>
        <w:t xml:space="preserve">样品要求：</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A.</w:t>
      </w:r>
      <w:r>
        <w:rPr>
          <w:rFonts w:hint="eastAsia" w:ascii="宋体" w:hAnsi="宋体" w:eastAsia="宋体" w:cs="宋体"/>
          <w:b/>
          <w:bCs/>
          <w:color w:val="000000"/>
          <w:sz w:val="24"/>
          <w:szCs w:val="24"/>
          <w:highlight w:val="none"/>
        </w:rPr>
        <w:t xml:space="preserve">哌嗪-DTC钾盐小样（不少于500mL）,名称：1,4-哌嗪基二硫代氨基甲酸钾溶液，外观：淡绿色~淡橙黄色澄清液体，比重：≥1.18，有效含量不低于35%，游离碱：≤0.5%，PH值：10.5-13.5。</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B.</w:t>
      </w:r>
      <w:r>
        <w:rPr>
          <w:rFonts w:hint="eastAsia" w:ascii="宋体" w:hAnsi="宋体" w:eastAsia="宋体" w:cs="宋体"/>
          <w:b/>
          <w:bCs/>
          <w:color w:val="000000"/>
          <w:sz w:val="24"/>
          <w:szCs w:val="24"/>
          <w:highlight w:val="none"/>
        </w:rPr>
        <w:t xml:space="preserve">福美钠小样（不少于500mL），名称：二甲基二硫代氨基甲酸钠，外观：淡绿色~淡橙黄色澄清液体，比重：≥1.18，有效含量不低于40%，游离碱：≤0.5%，PH值：10.5-13.5。须为精制除味型水剂，不可使用母液。</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.2药剂</w:t>
      </w:r>
      <w:r>
        <w:rPr>
          <w:rFonts w:hint="eastAsia" w:ascii="宋体" w:hAnsi="宋体" w:eastAsia="宋体" w:cs="宋体"/>
          <w:b/>
          <w:bCs/>
          <w:color w:val="000000"/>
          <w:sz w:val="24"/>
          <w:szCs w:val="24"/>
          <w:highlight w:val="none"/>
        </w:rPr>
        <w:t xml:space="preserve">样品递交要求：</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①送样</w:t>
      </w:r>
      <w:r>
        <w:rPr>
          <w:rFonts w:hint="eastAsia" w:ascii="宋体" w:hAnsi="宋体" w:eastAsia="宋体" w:cs="宋体"/>
          <w:b/>
          <w:bCs/>
          <w:color w:val="000000"/>
          <w:sz w:val="24"/>
          <w:szCs w:val="24"/>
          <w:highlight w:val="none"/>
          <w:lang w:val="en-US" w:eastAsia="zh-CN"/>
        </w:rPr>
        <w:t xml:space="preserve">截止时间</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2025年12月</w:t>
      </w:r>
      <w:r>
        <w:rPr>
          <w:rFonts w:hint="eastAsia" w:ascii="宋体" w:hAnsi="宋体" w:cs="宋体"/>
          <w:b/>
          <w:bCs/>
          <w:color w:val="000000"/>
          <w:sz w:val="24"/>
          <w:szCs w:val="24"/>
          <w:highlight w:val="none"/>
          <w:lang w:val="en-US" w:eastAsia="zh-CN"/>
        </w:rPr>
        <w:t xml:space="preserve">29日</w:t>
      </w:r>
      <w:r>
        <w:rPr>
          <w:rFonts w:hint="eastAsia" w:ascii="宋体" w:hAnsi="宋体" w:eastAsia="宋体" w:cs="宋体"/>
          <w:b/>
          <w:bCs/>
          <w:color w:val="000000"/>
          <w:sz w:val="24"/>
          <w:szCs w:val="24"/>
          <w:highlight w:val="none"/>
          <w:lang w:val="en-US" w:eastAsia="zh-CN"/>
        </w:rPr>
        <w:t xml:space="preserve">17：00</w:t>
      </w:r>
      <w:r>
        <w:rPr>
          <w:rFonts w:hint="eastAsia" w:ascii="宋体" w:hAnsi="宋体" w:eastAsia="宋体" w:cs="宋体"/>
          <w:b/>
          <w:bCs/>
          <w:color w:val="000000"/>
          <w:sz w:val="24"/>
          <w:szCs w:val="24"/>
          <w:highlight w:val="none"/>
        </w:rPr>
        <w:t xml:space="preserve">（北京时间），逾期不再接收。</w:t>
      </w:r>
      <w:r>
        <w:rPr>
          <w:rFonts w:hint="eastAsia" w:ascii="宋体" w:hAnsi="宋体" w:eastAsia="宋体" w:cs="宋体"/>
          <w:b/>
          <w:bCs/>
          <w:color w:val="000000"/>
          <w:sz w:val="24"/>
          <w:szCs w:val="24"/>
          <w:highlight w:val="none"/>
          <w:lang w:val="en-US" w:eastAsia="zh-CN"/>
        </w:rPr>
        <w:t xml:space="preserve">现场送样时间</w:t>
      </w:r>
      <w:r>
        <w:rPr>
          <w:rFonts w:hint="eastAsia" w:ascii="宋体" w:hAnsi="宋体" w:eastAsia="宋体" w:cs="宋体"/>
          <w:b/>
          <w:bCs/>
          <w:color w:val="000000"/>
          <w:sz w:val="24"/>
          <w:szCs w:val="24"/>
          <w:highlight w:val="none"/>
        </w:rPr>
        <w:t xml:space="preserve">每天上午9：00至1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00（北京时间，法定节假日除外 ）</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②送样地点：常州市环境卫生管理中心-焚烧综合处置中心-武进区遥观镇观庄村211号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③送样方式：现场送达（联系人：</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杨曙云</w:t>
      </w:r>
      <w:r>
        <w:rPr>
          <w:rFonts w:hint="eastAsia" w:ascii="宋体" w:hAnsi="宋体" w:eastAsia="宋体" w:cs="宋体"/>
          <w:b/>
          <w:bCs/>
          <w:color w:val="000000" w:themeColor="text1"/>
          <w:sz w:val="24"/>
          <w:szCs w:val="24"/>
          <w:highlight w:val="none"/>
          <w14:textFill>
            <w14:solidFill>
              <w14:schemeClr w14:val="tx1"/>
            </w14:solidFill>
          </w14:textFill>
        </w:rPr>
        <w:t xml:space="preserve"> 0519-</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88771444</w:t>
      </w:r>
      <w:r>
        <w:rPr>
          <w:rFonts w:hint="eastAsia" w:ascii="宋体" w:hAnsi="宋体" w:eastAsia="宋体" w:cs="宋体"/>
          <w:b/>
          <w:bCs/>
          <w:color w:val="000000" w:themeColor="text1"/>
          <w:sz w:val="24"/>
          <w:szCs w:val="24"/>
          <w:highlight w:val="none"/>
          <w14:textFill>
            <w14:solidFill>
              <w14:schemeClr w14:val="tx1"/>
            </w14:solidFill>
          </w14:textFill>
        </w:rPr>
        <w:t xml:space="preserve">-80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sz w:val="24"/>
          <w:szCs w:val="24"/>
          <w:highlight w:val="none"/>
        </w:rPr>
        <w:t xml:space="preserve"> ）</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投标人</w:t>
      </w:r>
      <w:r>
        <w:rPr>
          <w:rFonts w:hint="eastAsia" w:ascii="宋体" w:hAnsi="宋体" w:eastAsia="宋体" w:cs="宋体"/>
          <w:b/>
          <w:bCs/>
          <w:color w:val="000000"/>
          <w:sz w:val="24"/>
          <w:szCs w:val="24"/>
          <w:highlight w:val="none"/>
          <w:lang w:val="en-US" w:eastAsia="zh-CN"/>
        </w:rPr>
        <w:t xml:space="preserve">将</w:t>
      </w:r>
      <w:r>
        <w:rPr>
          <w:rFonts w:hint="eastAsia" w:ascii="宋体" w:hAnsi="宋体" w:eastAsia="宋体" w:cs="宋体"/>
          <w:b/>
          <w:bCs/>
          <w:color w:val="000000"/>
          <w:sz w:val="24"/>
          <w:szCs w:val="24"/>
          <w:highlight w:val="none"/>
        </w:rPr>
        <w:t xml:space="preserve">药剂</w:t>
      </w:r>
      <w:r>
        <w:rPr>
          <w:rFonts w:hint="eastAsia" w:ascii="宋体" w:hAnsi="宋体" w:eastAsia="宋体" w:cs="宋体"/>
          <w:b/>
          <w:bCs/>
          <w:color w:val="000000"/>
          <w:sz w:val="24"/>
          <w:szCs w:val="24"/>
          <w:highlight w:val="none"/>
          <w:lang w:val="en-US" w:eastAsia="zh-CN"/>
        </w:rPr>
        <w:t xml:space="preserve">与采购人现场的飞灰,按3.5%的比例制作成试块，按照3.5%的比例制作成试验样品，送有</w:t>
      </w:r>
      <w:r>
        <w:rPr>
          <w:rFonts w:hint="eastAsia" w:ascii="宋体" w:hAnsi="宋体" w:eastAsia="宋体" w:cs="宋体"/>
          <w:b/>
          <w:bCs/>
          <w:color w:val="000000"/>
          <w:sz w:val="24"/>
          <w:szCs w:val="24"/>
          <w:highlight w:val="none"/>
          <w:u w:val="none"/>
          <w:lang w:val="en-US" w:eastAsia="zh-CN" w:bidi="ar"/>
        </w:rPr>
        <w:t xml:space="preserve">CMA认证的检测机构</w:t>
      </w:r>
      <w:r>
        <w:rPr>
          <w:rFonts w:hint="eastAsia" w:ascii="宋体" w:hAnsi="宋体" w:eastAsia="宋体" w:cs="宋体"/>
          <w:b/>
          <w:bCs/>
          <w:color w:val="000000"/>
          <w:sz w:val="24"/>
          <w:szCs w:val="24"/>
          <w:highlight w:val="none"/>
          <w:lang w:val="en-US" w:eastAsia="zh-CN"/>
        </w:rPr>
        <w:t xml:space="preserve">检测。</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6.4检测标准</w:t>
      </w:r>
      <w:r>
        <w:rPr>
          <w:rFonts w:hint="eastAsia" w:ascii="宋体" w:hAnsi="宋体" w:eastAsia="宋体" w:cs="宋体"/>
          <w:b/>
          <w:bCs/>
          <w:color w:val="000000"/>
          <w:sz w:val="24"/>
          <w:szCs w:val="24"/>
          <w:highlight w:val="none"/>
        </w:rPr>
        <w:t xml:space="preserve">：试验结果达</w:t>
      </w:r>
      <w:r>
        <w:rPr>
          <w:rFonts w:hint="eastAsia" w:ascii="宋体" w:hAnsi="宋体" w:eastAsia="宋体" w:cs="宋体"/>
          <w:b/>
          <w:bCs/>
          <w:color w:val="000000"/>
          <w:sz w:val="24"/>
          <w:szCs w:val="24"/>
          <w:highlight w:val="none"/>
          <w:lang w:val="en-US" w:eastAsia="zh-CN"/>
        </w:rPr>
        <w:t xml:space="preserve">到</w:t>
      </w:r>
      <w:r>
        <w:rPr>
          <w:rFonts w:hint="eastAsia" w:ascii="宋体" w:hAnsi="宋体" w:eastAsia="宋体" w:cs="宋体"/>
          <w:b/>
          <w:bCs/>
          <w:color w:val="000000"/>
          <w:sz w:val="24"/>
          <w:szCs w:val="24"/>
          <w:highlight w:val="none"/>
        </w:rPr>
        <w:t xml:space="preserve">《生活垃圾填埋污染控制标准》</w:t>
      </w:r>
      <w:r>
        <w:rPr>
          <w:rFonts w:hint="eastAsia" w:ascii="宋体" w:hAnsi="宋体" w:eastAsia="宋体" w:cs="宋体"/>
          <w:b/>
          <w:bCs/>
          <w:color w:val="000000"/>
          <w:sz w:val="24"/>
          <w:szCs w:val="24"/>
          <w:highlight w:val="none"/>
          <w:lang w:eastAsia="zh-CN"/>
        </w:rPr>
        <w:t xml:space="preserve">（GB16889-2024）第6页</w:t>
      </w:r>
      <w:r>
        <w:rPr>
          <w:rFonts w:hint="eastAsia" w:ascii="宋体" w:hAnsi="宋体" w:eastAsia="宋体" w:cs="宋体"/>
          <w:b/>
          <w:bCs/>
          <w:color w:val="000000"/>
          <w:sz w:val="24"/>
          <w:szCs w:val="24"/>
          <w:highlight w:val="none"/>
          <w:lang w:val="en-US" w:eastAsia="zh-CN"/>
        </w:rPr>
        <w:t xml:space="preserve">6.3表1</w:t>
      </w:r>
      <w:r>
        <w:rPr>
          <w:rFonts w:hint="eastAsia" w:ascii="宋体" w:hAnsi="宋体" w:eastAsia="宋体" w:cs="宋体"/>
          <w:b/>
          <w:bCs/>
          <w:color w:val="000000"/>
          <w:sz w:val="24"/>
          <w:szCs w:val="24"/>
          <w:highlight w:val="none"/>
        </w:rPr>
        <w:t xml:space="preserve">的</w:t>
      </w:r>
      <w:r>
        <w:rPr>
          <w:rFonts w:hint="eastAsia" w:ascii="宋体" w:hAnsi="宋体" w:eastAsia="宋体" w:cs="宋体"/>
          <w:b/>
          <w:bCs/>
          <w:color w:val="000000"/>
          <w:sz w:val="24"/>
          <w:szCs w:val="24"/>
          <w:highlight w:val="none"/>
          <w:lang w:val="en-US" w:eastAsia="zh-CN"/>
        </w:rPr>
        <w:t xml:space="preserve">指标要求为合格，否则为不合格</w:t>
      </w:r>
      <w:r>
        <w:rPr>
          <w:rFonts w:hint="eastAsia" w:ascii="宋体" w:hAnsi="宋体" w:eastAsia="宋体" w:cs="宋体"/>
          <w:b/>
          <w:bCs/>
          <w:color w:val="000000"/>
          <w:sz w:val="24"/>
          <w:szCs w:val="24"/>
          <w:highlight w:val="none"/>
        </w:rPr>
        <w:t xml:space="preserve">。</w:t>
      </w:r>
      <w:r/>
    </w:p>
    <w:p>
      <w:pPr>
        <w:ind w:left="0" w:right="136" w:firstLine="480"/>
        <w:jc w:val="center"/>
        <w:keepLines w:val="0"/>
        <w:keepNext w:val="0"/>
        <w:pageBreakBefore w:val="0"/>
        <w:spacing w:line="360" w:lineRule="auto"/>
        <w:widowControl w:val="off"/>
        <w:tabs>
          <w:tab w:val="left" w:pos="71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表</w:t>
      </w:r>
      <w:r>
        <w:rPr>
          <w:rFonts w:hint="eastAsia" w:ascii="宋体" w:hAnsi="宋体" w:eastAsia="宋体" w:cs="宋体"/>
          <w:color w:val="000000"/>
          <w:spacing w:val="-56"/>
          <w:sz w:val="24"/>
          <w:szCs w:val="24"/>
        </w:rPr>
        <w:t xml:space="preserve"> </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浸出液污染物浓度限值</w:t>
      </w:r>
      <w:r/>
    </w:p>
    <w:tbl>
      <w:tblPr>
        <w:tblStyle w:val="1036"/>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661"/>
        <w:gridCol w:w="3243"/>
        <w:gridCol w:w="3413"/>
      </w:tblGrid>
      <w:tr>
        <w:trPr>
          <w:trHeight w:val="375"/>
        </w:trPr>
        <w:tc>
          <w:tcPr>
            <w:tcW w:w="859" w:type="dxa"/>
            <w:vAlign w:val="top"/>
            <w:textDirection w:val="lrTb"/>
            <w:noWrap w:val="false"/>
          </w:tcPr>
          <w:p>
            <w:pPr>
              <w:pStyle w:val="1274"/>
              <w:ind w:right="392"/>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93" w:type="dxa"/>
            <w:vAlign w:val="top"/>
            <w:textDirection w:val="lrTb"/>
            <w:noWrap w:val="false"/>
          </w:tcPr>
          <w:p>
            <w:pPr>
              <w:pStyle w:val="1274"/>
              <w:ind w:right="999"/>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污染物项目</w:t>
            </w:r>
            <w:r/>
          </w:p>
        </w:tc>
        <w:tc>
          <w:tcPr>
            <w:tcW w:w="2047" w:type="dxa"/>
            <w:vAlign w:val="top"/>
            <w:textDirection w:val="lrTb"/>
            <w:noWrap w:val="false"/>
          </w:tcPr>
          <w:p>
            <w:pPr>
              <w:pStyle w:val="1274"/>
              <w:ind w:right="632"/>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浓度限值（mg/L）</w:t>
            </w:r>
            <w:r/>
          </w:p>
        </w:tc>
      </w:tr>
      <w:tr>
        <w:trPr>
          <w:trHeight w:val="433"/>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汞</w:t>
            </w:r>
            <w:r/>
          </w:p>
        </w:tc>
        <w:tc>
          <w:tcPr>
            <w:tcW w:w="2047" w:type="dxa"/>
            <w:vAlign w:val="top"/>
            <w:textDirection w:val="lrTb"/>
            <w:noWrap w:val="false"/>
          </w:tcPr>
          <w:p>
            <w:pPr>
              <w:pStyle w:val="1274"/>
              <w:ind w:left="650"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0.05</w:t>
            </w:r>
            <w:r/>
          </w:p>
        </w:tc>
      </w:tr>
      <w:tr>
        <w:trPr>
          <w:trHeight w:val="434"/>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铜</w:t>
            </w:r>
            <w:r/>
          </w:p>
        </w:tc>
        <w:tc>
          <w:tcPr>
            <w:tcW w:w="2047" w:type="dxa"/>
            <w:vAlign w:val="top"/>
            <w:textDirection w:val="lrTb"/>
            <w:noWrap w:val="false"/>
          </w:tcPr>
          <w:p>
            <w:pPr>
              <w:pStyle w:val="1274"/>
              <w:ind w:left="651"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40</w:t>
            </w:r>
            <w:r/>
          </w:p>
        </w:tc>
      </w:tr>
      <w:tr>
        <w:trPr>
          <w:trHeight w:val="433"/>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锌</w:t>
            </w:r>
            <w:r/>
          </w:p>
        </w:tc>
        <w:tc>
          <w:tcPr>
            <w:tcW w:w="2047" w:type="dxa"/>
            <w:vAlign w:val="top"/>
            <w:textDirection w:val="lrTb"/>
            <w:noWrap w:val="false"/>
          </w:tcPr>
          <w:p>
            <w:pPr>
              <w:pStyle w:val="1274"/>
              <w:ind w:left="650"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433"/>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铅</w:t>
            </w:r>
            <w:r/>
          </w:p>
        </w:tc>
        <w:tc>
          <w:tcPr>
            <w:tcW w:w="2047" w:type="dxa"/>
            <w:vAlign w:val="top"/>
            <w:textDirection w:val="lrTb"/>
            <w:noWrap w:val="false"/>
          </w:tcPr>
          <w:p>
            <w:pPr>
              <w:pStyle w:val="1274"/>
              <w:ind w:left="650"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0.25</w:t>
            </w:r>
            <w:r/>
          </w:p>
        </w:tc>
      </w:tr>
      <w:tr>
        <w:trPr>
          <w:trHeight w:val="434"/>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镉</w:t>
            </w:r>
            <w:r/>
          </w:p>
        </w:tc>
        <w:tc>
          <w:tcPr>
            <w:tcW w:w="2047" w:type="dxa"/>
            <w:vAlign w:val="top"/>
            <w:textDirection w:val="lrTb"/>
            <w:noWrap w:val="false"/>
          </w:tcPr>
          <w:p>
            <w:pPr>
              <w:pStyle w:val="1274"/>
              <w:ind w:left="650"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0.15</w:t>
            </w:r>
            <w:r/>
          </w:p>
        </w:tc>
      </w:tr>
      <w:tr>
        <w:trPr>
          <w:trHeight w:val="433"/>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铍</w:t>
            </w:r>
            <w:r/>
          </w:p>
        </w:tc>
        <w:tc>
          <w:tcPr>
            <w:tcW w:w="2047" w:type="dxa"/>
            <w:vAlign w:val="top"/>
            <w:textDirection w:val="lrTb"/>
            <w:noWrap w:val="false"/>
          </w:tcPr>
          <w:p>
            <w:pPr>
              <w:pStyle w:val="1274"/>
              <w:ind w:left="650"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0.02</w:t>
            </w:r>
            <w:r/>
          </w:p>
        </w:tc>
      </w:tr>
      <w:tr>
        <w:trPr>
          <w:trHeight w:val="433"/>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钡</w:t>
            </w:r>
            <w:r/>
          </w:p>
        </w:tc>
        <w:tc>
          <w:tcPr>
            <w:tcW w:w="2047" w:type="dxa"/>
            <w:vAlign w:val="top"/>
            <w:textDirection w:val="lrTb"/>
            <w:noWrap w:val="false"/>
          </w:tcPr>
          <w:p>
            <w:pPr>
              <w:pStyle w:val="1274"/>
              <w:ind w:left="651"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w:t>
            </w:r>
            <w:r/>
          </w:p>
        </w:tc>
      </w:tr>
      <w:tr>
        <w:trPr>
          <w:trHeight w:val="434"/>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镍</w:t>
            </w:r>
            <w:r/>
          </w:p>
        </w:tc>
        <w:tc>
          <w:tcPr>
            <w:tcW w:w="2047" w:type="dxa"/>
            <w:vAlign w:val="top"/>
            <w:textDirection w:val="lrTb"/>
            <w:noWrap w:val="false"/>
          </w:tcPr>
          <w:p>
            <w:pPr>
              <w:pStyle w:val="1274"/>
              <w:ind w:left="652"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0.5</w:t>
            </w:r>
            <w:r/>
          </w:p>
        </w:tc>
      </w:tr>
      <w:tr>
        <w:trPr>
          <w:trHeight w:val="433"/>
        </w:trPr>
        <w:tc>
          <w:tcPr>
            <w:tcW w:w="859" w:type="dxa"/>
            <w:vAlign w:val="top"/>
            <w:textDirection w:val="lrTb"/>
            <w:noWrap w:val="false"/>
          </w:tcPr>
          <w:p>
            <w:pPr>
              <w:pStyle w:val="1274"/>
              <w:ind w:left="18"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砷</w:t>
            </w:r>
            <w:r/>
          </w:p>
        </w:tc>
        <w:tc>
          <w:tcPr>
            <w:tcW w:w="2047" w:type="dxa"/>
            <w:vAlign w:val="top"/>
            <w:textDirection w:val="lrTb"/>
            <w:noWrap w:val="false"/>
          </w:tcPr>
          <w:p>
            <w:pPr>
              <w:pStyle w:val="1274"/>
              <w:ind w:left="652"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0.3</w:t>
            </w:r>
            <w:r/>
          </w:p>
        </w:tc>
      </w:tr>
      <w:tr>
        <w:trPr>
          <w:trHeight w:val="433"/>
        </w:trPr>
        <w:tc>
          <w:tcPr>
            <w:tcW w:w="859" w:type="dxa"/>
            <w:vAlign w:val="top"/>
            <w:textDirection w:val="lrTb"/>
            <w:noWrap w:val="false"/>
          </w:tcPr>
          <w:p>
            <w:pPr>
              <w:pStyle w:val="1274"/>
              <w:ind w:right="39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93" w:type="dxa"/>
            <w:vAlign w:val="top"/>
            <w:textDirection w:val="lrTb"/>
            <w:noWrap w:val="false"/>
          </w:tcPr>
          <w:p>
            <w:pPr>
              <w:pStyle w:val="1274"/>
              <w:ind w:right="99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总铬</w:t>
            </w:r>
            <w:r/>
          </w:p>
        </w:tc>
        <w:tc>
          <w:tcPr>
            <w:tcW w:w="2047" w:type="dxa"/>
            <w:vAlign w:val="top"/>
            <w:textDirection w:val="lrTb"/>
            <w:noWrap w:val="false"/>
          </w:tcPr>
          <w:p>
            <w:pPr>
              <w:pStyle w:val="1274"/>
              <w:ind w:left="652"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4.5</w:t>
            </w:r>
            <w:r/>
          </w:p>
        </w:tc>
      </w:tr>
      <w:tr>
        <w:trPr>
          <w:trHeight w:val="434"/>
        </w:trPr>
        <w:tc>
          <w:tcPr>
            <w:tcW w:w="859" w:type="dxa"/>
            <w:vAlign w:val="top"/>
            <w:textDirection w:val="lrTb"/>
            <w:noWrap w:val="false"/>
          </w:tcPr>
          <w:p>
            <w:pPr>
              <w:pStyle w:val="1274"/>
              <w:ind w:right="39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93" w:type="dxa"/>
            <w:vAlign w:val="top"/>
            <w:textDirection w:val="lrTb"/>
            <w:noWrap w:val="false"/>
          </w:tcPr>
          <w:p>
            <w:pPr>
              <w:pStyle w:val="1274"/>
              <w:ind w:right="99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六价铬</w:t>
            </w:r>
            <w:r/>
          </w:p>
        </w:tc>
        <w:tc>
          <w:tcPr>
            <w:tcW w:w="2047" w:type="dxa"/>
            <w:vAlign w:val="top"/>
            <w:textDirection w:val="lrTb"/>
            <w:noWrap w:val="false"/>
          </w:tcPr>
          <w:p>
            <w:pPr>
              <w:pStyle w:val="1274"/>
              <w:ind w:left="652"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w:t>
            </w:r>
            <w:r/>
          </w:p>
        </w:tc>
      </w:tr>
      <w:tr>
        <w:trPr>
          <w:trHeight w:val="433"/>
        </w:trPr>
        <w:tc>
          <w:tcPr>
            <w:tcW w:w="859" w:type="dxa"/>
            <w:vAlign w:val="top"/>
            <w:textDirection w:val="lrTb"/>
            <w:noWrap w:val="false"/>
          </w:tcPr>
          <w:p>
            <w:pPr>
              <w:pStyle w:val="1274"/>
              <w:ind w:right="39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93" w:type="dxa"/>
            <w:vAlign w:val="top"/>
            <w:textDirection w:val="lrTb"/>
            <w:noWrap w:val="false"/>
          </w:tcPr>
          <w:p>
            <w:pPr>
              <w:pStyle w:val="1274"/>
              <w:ind w:left="19"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硒</w:t>
            </w:r>
            <w:r/>
          </w:p>
        </w:tc>
        <w:tc>
          <w:tcPr>
            <w:tcW w:w="2047" w:type="dxa"/>
            <w:vAlign w:val="top"/>
            <w:textDirection w:val="lrTb"/>
            <w:noWrap w:val="false"/>
          </w:tcPr>
          <w:p>
            <w:pPr>
              <w:pStyle w:val="1274"/>
              <w:ind w:left="652" w:right="632"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0.1</w:t>
            </w:r>
            <w:r/>
          </w:p>
        </w:tc>
      </w:tr>
    </w:tbl>
    <w:p>
      <w:p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bidi="ar"/>
        </w:rPr>
        <w:t xml:space="preserve">样品制作、检测、运输费用由投标人自行承担。中标人的样品不予退回，由招标人封存作为最终验收及检测的依据，未中标的样品予以退回。</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u w:val="none"/>
        </w:rPr>
        <w:t xml:space="preserve"> </w:t>
      </w:r>
      <w:r>
        <w:rPr>
          <w:rFonts w:hint="eastAsia" w:ascii="宋体" w:hAnsi="宋体" w:eastAsia="宋体" w:cs="宋体"/>
          <w:b/>
          <w:bCs/>
          <w:color w:val="000000"/>
          <w:sz w:val="24"/>
          <w:szCs w:val="24"/>
          <w:highlight w:val="none"/>
          <w:u w:val="none"/>
          <w:lang w:val="en-US" w:eastAsia="zh-CN" w:bidi="ar"/>
        </w:rPr>
        <w:t xml:space="preserve">响应文件中需提供有CMA认证的检测机构提供的相关检测报告原件扫描件，未提供或检测报告数据不达标准要求的</w:t>
      </w:r>
      <w:r>
        <w:rPr>
          <w:rFonts w:hint="eastAsia" w:ascii="宋体" w:hAnsi="宋体" w:eastAsia="宋体" w:cs="宋体"/>
          <w:b/>
          <w:bCs/>
          <w:color w:val="000000"/>
          <w:sz w:val="24"/>
          <w:szCs w:val="24"/>
          <w:highlight w:val="none"/>
          <w:u w:val="none"/>
          <w:lang w:val="en-US" w:eastAsia="zh-CN"/>
        </w:rPr>
        <w:t xml:space="preserve">按无效文件处理</w:t>
      </w:r>
      <w:r>
        <w:rPr>
          <w:rFonts w:hint="eastAsia" w:ascii="宋体" w:hAnsi="宋体" w:eastAsia="宋体" w:cs="宋体"/>
          <w:b/>
          <w:bCs/>
          <w:color w:val="000000"/>
          <w:sz w:val="24"/>
          <w:szCs w:val="24"/>
          <w:highlight w:val="none"/>
          <w:u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u w:val="none"/>
          <w:lang w:val="en-US" w:eastAsia="zh-CN" w:bidi="ar"/>
        </w:rPr>
        <w:t xml:space="preserve">响应文件中需提供送样承诺，未提供的按无效文件处理。</w:t>
      </w:r>
      <w:r/>
    </w:p>
    <w:p>
      <w:pPr>
        <w:pStyle w:val="1299"/>
        <w:numPr>
          <w:ilvl w:val="0"/>
          <w:numId w:val="0"/>
        </w:numPr>
        <w:contextualSpacing/>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四、人员要求</w:t>
      </w:r>
      <w:r/>
    </w:p>
    <w:p>
      <w:pPr>
        <w:numPr>
          <w:ilvl w:val="0"/>
          <w:numId w:val="0"/>
        </w:numPr>
        <w:ind w:firstLine="480"/>
        <w:keepLines w:val="0"/>
        <w:keepNext w:val="0"/>
        <w:pageBreakBefore w:val="0"/>
        <w:spacing w:line="360" w:lineRule="auto"/>
        <w:widowControl w:val="off"/>
        <w:tabs>
          <w:tab w:val="left" w:pos="0" w:leader="none"/>
          <w:tab w:val="left" w:pos="1589" w:leader="none"/>
          <w:tab w:val="left" w:pos="5521" w:leader="none"/>
        </w:tabs>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项目负责人1名，提供</w:t>
      </w:r>
      <w:r>
        <w:rPr>
          <w:rFonts w:hint="eastAsia" w:ascii="宋体" w:hAnsi="宋体"/>
          <w:sz w:val="24"/>
          <w:szCs w:val="24"/>
          <w:highlight w:val="none"/>
          <w:lang w:bidi="ar"/>
        </w:rPr>
        <w:t xml:space="preserve">投标人近三个月（202</w:t>
      </w:r>
      <w:r>
        <w:rPr>
          <w:rFonts w:hint="eastAsia" w:ascii="宋体" w:hAnsi="宋体"/>
          <w:sz w:val="24"/>
          <w:szCs w:val="24"/>
          <w:highlight w:val="none"/>
          <w:lang w:val="en-US" w:eastAsia="zh-CN" w:bidi="ar"/>
        </w:rPr>
        <w:t xml:space="preserve">5</w:t>
      </w:r>
      <w:r>
        <w:rPr>
          <w:rFonts w:hint="eastAsia" w:ascii="宋体" w:hAnsi="宋体"/>
          <w:sz w:val="24"/>
          <w:szCs w:val="24"/>
          <w:highlight w:val="none"/>
          <w:lang w:bidi="ar"/>
        </w:rPr>
        <w:t xml:space="preserve">年</w:t>
      </w:r>
      <w:r>
        <w:rPr>
          <w:rFonts w:hint="eastAsia" w:ascii="宋体" w:hAnsi="宋体"/>
          <w:sz w:val="24"/>
          <w:szCs w:val="24"/>
          <w:highlight w:val="none"/>
          <w:lang w:val="en-US" w:eastAsia="zh-CN" w:bidi="ar"/>
        </w:rPr>
        <w:t xml:space="preserve">10</w:t>
      </w:r>
      <w:r>
        <w:rPr>
          <w:rFonts w:hint="eastAsia" w:ascii="宋体" w:hAnsi="宋体"/>
          <w:sz w:val="24"/>
          <w:szCs w:val="24"/>
          <w:highlight w:val="none"/>
          <w:lang w:bidi="ar"/>
        </w:rPr>
        <w:t xml:space="preserve">月-</w:t>
      </w:r>
      <w:r>
        <w:rPr>
          <w:rFonts w:hint="eastAsia" w:ascii="宋体" w:hAnsi="宋体"/>
          <w:sz w:val="24"/>
          <w:szCs w:val="24"/>
          <w:highlight w:val="none"/>
          <w:lang w:val="en-US" w:eastAsia="zh-CN" w:bidi="ar"/>
        </w:rPr>
        <w:t xml:space="preserve">12</w:t>
      </w:r>
      <w:r>
        <w:rPr>
          <w:rFonts w:hint="eastAsia" w:ascii="宋体" w:hAnsi="宋体"/>
          <w:sz w:val="24"/>
          <w:szCs w:val="24"/>
          <w:highlight w:val="none"/>
          <w:lang w:bidi="ar"/>
        </w:rPr>
        <w:t xml:space="preserve">月）为其缴纳的相应社保机构出具的社会基本养老保险的缴纳凭证(加盖社保中心章或社保中心参保缴费证明电子专用章，非社保手册)</w:t>
      </w:r>
      <w:r>
        <w:rPr>
          <w:rFonts w:hint="eastAsia" w:ascii="宋体" w:hAnsi="宋体"/>
          <w:sz w:val="24"/>
          <w:szCs w:val="24"/>
          <w:highlight w:val="none"/>
          <w:lang w:val="en-US" w:eastAsia="zh-CN" w:bidi="ar"/>
        </w:rPr>
        <w:t xml:space="preserve">及其身份证正反面扫描件并加盖公章。</w:t>
      </w:r>
      <w:r/>
    </w:p>
    <w:p>
      <w:pPr>
        <w:ind w:firstLine="480"/>
        <w:keepLines w:val="0"/>
        <w:keepNext w:val="0"/>
        <w:pageBreakBefore w:val="0"/>
        <w:spacing w:line="360" w:lineRule="auto"/>
        <w:widowControl w:val="off"/>
        <w:rPr>
          <w:sz w:val="24"/>
          <w:szCs w:val="24"/>
        </w:rPr>
      </w:pPr>
      <w:r>
        <w:rPr>
          <w:sz w:val="24"/>
          <w:szCs w:val="24"/>
        </w:rPr>
      </w:r>
      <w:r/>
    </w:p>
    <w:p>
      <w:pPr>
        <w:ind w:left="420" w:firstLine="482"/>
        <w:jc w:val="center"/>
        <w:keepLines w:val="0"/>
        <w:keepNext w:val="0"/>
        <w:pageBreakBefore w:val="0"/>
        <w:spacing w:line="360" w:lineRule="auto"/>
        <w:widowControl w:val="off"/>
        <w:rPr>
          <w:rFonts w:ascii="宋体" w:hAnsi="宋体" w:cs="宋体"/>
          <w:b/>
          <w:sz w:val="24"/>
          <w:szCs w:val="24"/>
        </w:rPr>
      </w:pPr>
      <w:r>
        <w:rPr>
          <w:rFonts w:hint="eastAsia" w:ascii="宋体" w:hAnsi="宋体" w:cs="宋体"/>
          <w:b/>
          <w:sz w:val="24"/>
          <w:szCs w:val="24"/>
        </w:rPr>
        <w:br w:type="page" w:clear="all"/>
      </w:r>
      <w:r/>
    </w:p>
    <w:p>
      <w:pPr>
        <w:ind w:left="420"/>
        <w:jc w:val="center"/>
        <w:spacing w:line="360" w:lineRule="auto"/>
        <w:rPr>
          <w:rFonts w:ascii="宋体" w:hAnsi="宋体" w:cs="宋体"/>
          <w:b/>
          <w:sz w:val="36"/>
          <w:szCs w:val="36"/>
        </w:rPr>
      </w:pPr>
      <w:r>
        <w:rPr>
          <w:rFonts w:hint="eastAsia" w:ascii="宋体" w:hAnsi="宋体" w:cs="宋体"/>
          <w:b/>
          <w:sz w:val="36"/>
          <w:szCs w:val="36"/>
        </w:rPr>
        <w:t xml:space="preserve">第六章 拟签订的合同文本</w:t>
      </w:r>
      <w:bookmarkEnd w:id="791"/>
      <w:r/>
      <w:r/>
    </w:p>
    <w:p>
      <w:pPr>
        <w:pStyle w:val="1050"/>
        <w:spacing w:line="360" w:lineRule="auto"/>
        <w:rPr>
          <w:rFonts w:hint="default" w:hAnsi="宋体" w:cs="宋体"/>
          <w:b/>
          <w:color w:val="000000"/>
          <w:sz w:val="24"/>
          <w:szCs w:val="24"/>
          <w:lang w:val="zh-CN"/>
        </w:rPr>
      </w:pPr>
      <w:r>
        <w:rPr>
          <w:rFonts w:hint="default" w:hAnsi="宋体" w:cs="宋体"/>
          <w:b/>
          <w:color w:val="000000"/>
          <w:sz w:val="24"/>
          <w:szCs w:val="24"/>
          <w:lang w:val="zh-CN"/>
        </w:rPr>
      </w:r>
      <w:r/>
    </w:p>
    <w:p>
      <w:pPr>
        <w:pStyle w:val="129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合同编号</w:t>
      </w:r>
      <w:r>
        <w:rPr>
          <w:rFonts w:hint="eastAsia" w:ascii="宋体" w:hAnsi="宋体" w:eastAsia="宋体" w:cs="宋体"/>
          <w:b/>
          <w:color w:val="000000"/>
          <w:sz w:val="24"/>
          <w:szCs w:val="24"/>
          <w:highlight w:val="none"/>
        </w:rPr>
        <w:t xml:space="preserve">：</w:t>
      </w:r>
      <w:r/>
    </w:p>
    <w:p>
      <w:pPr>
        <w:pStyle w:val="129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签订地点：</w:t>
      </w:r>
      <w:r/>
    </w:p>
    <w:p>
      <w:pPr>
        <w:pStyle w:val="129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合同时间</w:t>
      </w:r>
      <w:r>
        <w:rPr>
          <w:rFonts w:hint="eastAsia"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依据《中华人民共和国民法典》以及有关法律、法规的规定，甲方、乙方经协商一致，订立本合同。</w:t>
      </w:r>
      <w:r/>
    </w:p>
    <w:p>
      <w:pPr>
        <w:pStyle w:val="129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 合同标的之名称、型号、规格、数量</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名称：</w:t>
      </w:r>
      <w:r>
        <w:rPr>
          <w:rFonts w:hint="eastAsia" w:hAnsi="宋体" w:cs="宋体"/>
          <w:color w:val="000000"/>
          <w:sz w:val="24"/>
          <w:szCs w:val="24"/>
          <w:highlight w:val="none"/>
          <w:lang w:val="en-US" w:eastAsia="zh-CN" w:bidi="ar-SA"/>
        </w:rPr>
        <w:t xml:space="preserve">焚烧综合处置中心2026年度飞灰稳定化处理药剂采购</w:t>
      </w:r>
      <w:r>
        <w:rPr>
          <w:rFonts w:hint="eastAsia" w:ascii="宋体" w:hAnsi="宋体" w:eastAsia="宋体" w:cs="宋体"/>
          <w:color w:val="000000"/>
          <w:sz w:val="24"/>
          <w:szCs w:val="24"/>
          <w:highlight w:val="none"/>
          <w:lang w:val="en-US" w:eastAsia="zh-CN" w:bidi="ar-SA"/>
        </w:rPr>
        <w:t xml:space="preserve"> </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型号：</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外观：</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比重：</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数量：每年约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吨，按甲方实际用量结算。</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供货时间：</w:t>
      </w:r>
      <w:r>
        <w:rPr>
          <w:rFonts w:hint="eastAsia" w:ascii="宋体" w:hAnsi="宋体" w:cs="宋体"/>
          <w:color w:val="000000"/>
          <w:sz w:val="21"/>
          <w:szCs w:val="21"/>
          <w:highlight w:val="none"/>
          <w:u w:val="none"/>
          <w:lang w:val="en-US" w:eastAsia="zh-CN"/>
        </w:rPr>
        <w:t xml:space="preserve">签订合同之日起</w:t>
      </w:r>
      <w:r>
        <w:rPr>
          <w:rFonts w:hint="eastAsia" w:ascii="宋体" w:hAnsi="宋体" w:eastAsia="宋体" w:cs="宋体"/>
          <w:color w:val="000000"/>
          <w:sz w:val="21"/>
          <w:szCs w:val="21"/>
          <w:highlight w:val="none"/>
          <w:u w:val="none"/>
        </w:rPr>
        <w:t xml:space="preserve">至202</w:t>
      </w:r>
      <w:r>
        <w:rPr>
          <w:rFonts w:hint="eastAsia" w:ascii="宋体" w:hAnsi="宋体" w:eastAsia="宋体" w:cs="宋体"/>
          <w:color w:val="000000"/>
          <w:sz w:val="21"/>
          <w:szCs w:val="21"/>
          <w:highlight w:val="none"/>
          <w:u w:val="none"/>
          <w:lang w:val="en-US" w:eastAsia="zh-CN"/>
        </w:rPr>
        <w:t xml:space="preserve">6</w:t>
      </w:r>
      <w:r>
        <w:rPr>
          <w:rFonts w:hint="eastAsia" w:ascii="宋体" w:hAnsi="宋体" w:eastAsia="宋体" w:cs="宋体"/>
          <w:color w:val="000000"/>
          <w:sz w:val="21"/>
          <w:szCs w:val="21"/>
          <w:highlight w:val="none"/>
          <w:u w:val="none"/>
        </w:rPr>
        <w:t xml:space="preserve">年12月31日。</w:t>
      </w:r>
      <w:r/>
    </w:p>
    <w:p>
      <w:pPr>
        <w:pStyle w:val="129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二、合同标的技术要求详见招投标文件。</w:t>
      </w:r>
      <w:r/>
    </w:p>
    <w:p>
      <w:pPr>
        <w:pStyle w:val="129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三、交货与运输</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1．货物交付</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本合同货物的交货开始日期为</w:t>
      </w:r>
      <w:r>
        <w:rPr>
          <w:rFonts w:hint="eastAsia" w:hAnsi="宋体" w:cs="宋体"/>
          <w:color w:val="000000"/>
          <w:sz w:val="24"/>
          <w:szCs w:val="24"/>
          <w:highlight w:val="none"/>
          <w:lang w:val="en-US" w:eastAsia="zh-CN" w:bidi="ar-SA"/>
        </w:rPr>
        <w:t xml:space="preserve">合同签订之日起（具体时间按甲方要求），</w:t>
      </w:r>
      <w:r>
        <w:rPr>
          <w:rFonts w:hint="eastAsia" w:ascii="宋体" w:hAnsi="宋体" w:eastAsia="宋体" w:cs="宋体"/>
          <w:color w:val="000000"/>
          <w:sz w:val="24"/>
          <w:szCs w:val="24"/>
          <w:highlight w:val="none"/>
          <w:lang w:val="en-US" w:eastAsia="zh-CN" w:bidi="ar-SA"/>
        </w:rPr>
        <w:t xml:space="preserve">以货物运到现场（甲方住所地/甲方指定地点）的时间为准。</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螯合剂交货进度应满足生产需要。螯合剂交货时间由甲方随时微信通知乙方（提前1至2日）。乙方接到供货通知，必须在48小时内送达甲方指定的生产现场。</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乙方承担合同项下货物的运输费用及为货物办理运输保险、并承担由此所需的费用。</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2．资料交付</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乙方应在交付货物的同时向甲方提供产品的出厂合格证明文件。</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3．交货地点</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乙方应将货物运到甲方指定的所在地飞灰生产车间（甲方住所地/甲方指定的工地）。货物现场交付，甲方检验无误，签署收货通知单后，货物所有权转移给甲方。</w:t>
      </w:r>
      <w:r/>
    </w:p>
    <w:p>
      <w:pPr>
        <w:pStyle w:val="129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四、包装</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保证本合同范围内货物的包装能满足长途运输及装卸的需要，并依据所供物资特点分别采取防潮、防霉、防锈、防腐、防冻等措施。包装物由乙方负责回收，如乙方不回收，则甲方可自行处理，相应费用由乙方承担。</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因包装不良造成货物和技术资料损坏、丢失或性能降低，无论在何时何地发现，乙方均应负责及时修复、更换或赔偿。运输中发生货物损坏或丢失时，乙方应做好记录并负责与承运人及保险公司交涉，同时乙方应尽快向甲方补供货物以满足工期要求。</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3.乙方应承担由于货物发生损坏或丢失而补供导致的延迟交付货物的违约责任。</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4.乙方负责卸货，并卸到甲方指定地点，如果卸料过程中出现洒落现象，乙方分析原因并及时清理，清理必须达到环保要求，如达不到环保要求的，由此产生的费用由乙方负责。</w:t>
      </w:r>
      <w:r/>
    </w:p>
    <w:p>
      <w:pPr>
        <w:pStyle w:val="129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五、检验和验收</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1.甲方将对螯合剂处理后的飞灰由甲方化验室每天进行取样检验（包括委托第三方进行定期检验），并将质量检验结果及时通知乙方。该质量检验结果为合同结算依据。</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果乙方对甲方质量检验结果持有异议并认为需要重新检验时，经双方协商同意后共同派员重新取样封存并送甲方所在地技术监督部门的质检机构进行质量检验。双方同意最终以该质检机构的检验结果为合同价格结算依据，无论该检验结果是否与甲方的检验结果相一致，送检费用均由乙方承担。</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3.乙方对质量检验结果提出异议的期限为：甲方质量检验结果告知乙方的两个工作日内。否则，逾期未提出的，视作无异议。</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4.如遇政府监管部门抽样检验或其他监督性监测等，按其出具报告依据为准，不得有异，如监测结果不合格，产生的相关费用由乙方负责（整改、罚款等）。</w:t>
      </w:r>
      <w:r/>
    </w:p>
    <w:p>
      <w:pPr>
        <w:pStyle w:val="129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六、结算方式：</w:t>
      </w:r>
      <w:r/>
    </w:p>
    <w:p>
      <w:pPr>
        <w:ind w:firstLine="420"/>
        <w:jc w:val="left"/>
        <w:keepLines w:val="0"/>
        <w:keepNext w:val="0"/>
        <w:pageBreakBefore w:val="0"/>
        <w:spacing w:line="360" w:lineRule="auto"/>
        <w:shd w:val="clear" w:color="auto" w:fill="ffffff"/>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1.本合同签约价暂定237.6万元。</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.结算单价：</w:t>
      </w:r>
      <w:r>
        <w:rPr>
          <w:rFonts w:hint="eastAsia" w:ascii="宋体" w:hAnsi="宋体" w:eastAsia="宋体" w:cs="宋体"/>
          <w:color w:val="000000"/>
          <w:sz w:val="24"/>
          <w:szCs w:val="24"/>
          <w:highlight w:val="none"/>
        </w:rPr>
        <w:t xml:space="preserve">飞灰螯合剂（哌嗪-DTC-钾盐）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元/吨，飞灰螯合剂（福美钠）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元/吨。</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.付款方式：</w:t>
      </w:r>
      <w:r>
        <w:rPr>
          <w:rFonts w:hint="eastAsia" w:hAnsi="宋体" w:cs="宋体"/>
          <w:color w:val="000000"/>
          <w:sz w:val="24"/>
          <w:szCs w:val="24"/>
          <w:highlight w:val="none"/>
          <w:lang w:val="en-US" w:eastAsia="zh-CN" w:bidi="ar-SA"/>
        </w:rPr>
        <w:t xml:space="preserve">第一、二、三季度乙方在下季度首月10号前、第四季度在12月15日前出具增值税发票，甲方</w:t>
      </w:r>
      <w:r>
        <w:rPr>
          <w:rFonts w:hint="eastAsia" w:ascii="宋体" w:hAnsi="宋体" w:eastAsia="宋体" w:cs="宋体"/>
          <w:color w:val="000000"/>
          <w:sz w:val="24"/>
          <w:szCs w:val="24"/>
          <w:highlight w:val="none"/>
          <w:lang w:val="en-US" w:eastAsia="zh-CN" w:bidi="ar-SA"/>
        </w:rPr>
        <w:t xml:space="preserve">在收到</w:t>
      </w:r>
      <w:r>
        <w:rPr>
          <w:rFonts w:hint="eastAsia" w:hAnsi="宋体" w:cs="宋体"/>
          <w:color w:val="000000"/>
          <w:sz w:val="24"/>
          <w:szCs w:val="24"/>
          <w:highlight w:val="none"/>
          <w:lang w:val="en-US" w:eastAsia="zh-CN" w:bidi="ar-SA"/>
        </w:rPr>
        <w:t xml:space="preserve">乙方</w:t>
      </w:r>
      <w:r>
        <w:rPr>
          <w:rFonts w:hint="eastAsia" w:ascii="宋体" w:hAnsi="宋体" w:eastAsia="宋体" w:cs="宋体"/>
          <w:color w:val="000000"/>
          <w:sz w:val="24"/>
          <w:szCs w:val="24"/>
          <w:highlight w:val="none"/>
          <w:lang w:val="en-US" w:eastAsia="zh-CN" w:bidi="ar-SA"/>
        </w:rPr>
        <w:t xml:space="preserve">发票后十个工作日内结清货款。如</w:t>
      </w:r>
      <w:r>
        <w:rPr>
          <w:rFonts w:hint="eastAsia" w:hAnsi="宋体" w:cs="宋体"/>
          <w:color w:val="000000"/>
          <w:sz w:val="24"/>
          <w:szCs w:val="24"/>
          <w:highlight w:val="none"/>
          <w:lang w:val="en-US" w:eastAsia="zh-CN" w:bidi="ar-SA"/>
        </w:rPr>
        <w:t xml:space="preserve">乙方</w:t>
      </w:r>
      <w:r>
        <w:rPr>
          <w:rFonts w:hint="eastAsia" w:ascii="宋体" w:hAnsi="宋体" w:eastAsia="宋体" w:cs="宋体"/>
          <w:color w:val="000000"/>
          <w:sz w:val="24"/>
          <w:szCs w:val="24"/>
          <w:highlight w:val="none"/>
          <w:lang w:val="en-US" w:eastAsia="zh-CN" w:bidi="ar-SA"/>
        </w:rPr>
        <w:t xml:space="preserve">不能按照上述时间开具发票给</w:t>
      </w:r>
      <w:r>
        <w:rPr>
          <w:rFonts w:hint="eastAsia" w:hAnsi="宋体" w:cs="宋体"/>
          <w:color w:val="000000"/>
          <w:sz w:val="24"/>
          <w:szCs w:val="24"/>
          <w:highlight w:val="none"/>
          <w:lang w:val="en-US" w:eastAsia="zh-CN" w:bidi="ar-SA"/>
        </w:rPr>
        <w:t xml:space="preserve">甲方</w:t>
      </w:r>
      <w:r>
        <w:rPr>
          <w:rFonts w:hint="eastAsia" w:ascii="宋体" w:hAnsi="宋体" w:eastAsia="宋体" w:cs="宋体"/>
          <w:color w:val="000000"/>
          <w:sz w:val="24"/>
          <w:szCs w:val="24"/>
          <w:highlight w:val="none"/>
          <w:lang w:val="en-US" w:eastAsia="zh-CN" w:bidi="ar-SA"/>
        </w:rPr>
        <w:t xml:space="preserve">，</w:t>
      </w:r>
      <w:r>
        <w:rPr>
          <w:rFonts w:hint="eastAsia" w:hAnsi="宋体" w:cs="宋体"/>
          <w:color w:val="000000"/>
          <w:sz w:val="24"/>
          <w:szCs w:val="24"/>
          <w:highlight w:val="none"/>
          <w:lang w:val="en-US" w:eastAsia="zh-CN" w:bidi="ar-SA"/>
        </w:rPr>
        <w:t xml:space="preserve">甲方</w:t>
      </w:r>
      <w:r>
        <w:rPr>
          <w:rFonts w:hint="eastAsia" w:ascii="宋体" w:hAnsi="宋体" w:eastAsia="宋体" w:cs="宋体"/>
          <w:color w:val="000000"/>
          <w:sz w:val="24"/>
          <w:szCs w:val="24"/>
          <w:highlight w:val="none"/>
          <w:lang w:val="en-US" w:eastAsia="zh-CN" w:bidi="ar-SA"/>
        </w:rPr>
        <w:t xml:space="preserve">有权停止付款，由此产生的多缴税款责任由</w:t>
      </w:r>
      <w:r>
        <w:rPr>
          <w:rFonts w:hint="eastAsia" w:hAnsi="宋体" w:cs="宋体"/>
          <w:color w:val="000000"/>
          <w:sz w:val="24"/>
          <w:szCs w:val="24"/>
          <w:highlight w:val="none"/>
          <w:lang w:val="en-US" w:eastAsia="zh-CN" w:bidi="ar-SA"/>
        </w:rPr>
        <w:t xml:space="preserve">乙方</w:t>
      </w:r>
      <w:r>
        <w:rPr>
          <w:rFonts w:hint="eastAsia" w:ascii="宋体" w:hAnsi="宋体" w:eastAsia="宋体" w:cs="宋体"/>
          <w:color w:val="000000"/>
          <w:sz w:val="24"/>
          <w:szCs w:val="24"/>
          <w:highlight w:val="none"/>
          <w:lang w:val="en-US" w:eastAsia="zh-CN" w:bidi="ar-SA"/>
        </w:rPr>
        <w:t xml:space="preserve">承担。</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七、质量保证与售后服务</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项目服务期间内，甲方有需要乙方派遣技术人员到现场的，乙方技术人员应在24小时内到达，</w:t>
      </w:r>
      <w:r>
        <w:rPr>
          <w:rFonts w:hint="eastAsia" w:ascii="宋体" w:hAnsi="宋体" w:eastAsia="宋体" w:cs="宋体"/>
          <w:color w:val="000000"/>
          <w:sz w:val="24"/>
          <w:szCs w:val="24"/>
          <w:highlight w:val="none"/>
          <w:lang w:val="en-US" w:eastAsia="zh-CN" w:bidi="ar-SA"/>
        </w:rPr>
        <w:t xml:space="preserve">与</w:t>
      </w:r>
      <w:r>
        <w:rPr>
          <w:rFonts w:hint="eastAsia" w:ascii="宋体" w:hAnsi="宋体" w:cs="宋体"/>
          <w:color w:val="000000"/>
          <w:sz w:val="24"/>
          <w:szCs w:val="24"/>
          <w:highlight w:val="none"/>
          <w:lang w:val="en-US" w:eastAsia="zh-CN" w:bidi="ar-SA"/>
        </w:rPr>
        <w:t xml:space="preserve">甲</w:t>
      </w:r>
      <w:r>
        <w:rPr>
          <w:rFonts w:hint="eastAsia" w:ascii="宋体" w:hAnsi="宋体" w:eastAsia="宋体" w:cs="宋体"/>
          <w:color w:val="000000"/>
          <w:sz w:val="24"/>
          <w:szCs w:val="24"/>
          <w:highlight w:val="none"/>
          <w:lang w:val="en-US" w:eastAsia="zh-CN" w:bidi="ar-SA"/>
        </w:rPr>
        <w:t xml:space="preserve">方化验室人员一起指导飞灰螯合剂配比使用量，确保飞灰处理完全达生活垃圾卫生填埋场标准（GB16889-2024），又尽可能的节约药剂用量。如果乙方为保证飞灰达标处理效果，要求提高螯合剂配方比例，超过最高限价部分的用量由乙方免费提供。由于飞灰成份或生产工艺引起的配方提高，超过最高限价部分由乙方免费提供。</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负责飞灰固化后的报验，报验频次不得低于每月一次，报验的飞灰采样由甲乙双方共同负责，报验的第三方检测单位由甲乙双方协商指定，报验费用由乙方支付。如报验不合格，双方共同分析原因，再次进行共同采样报验，费用由乙方支付，如连续两次报验不合格，乙方必须更换产品，但更换后的产品价格不得抬高，更换后固化飞灰的报验工作及费用仍由乙方负责，如依然不能达标，甲方有权终止合同，在此期间产生的一切费用（包括但不限于：固化飞灰的重新固化费用，环保费用，政府监督部门检测的相关费用及罚款等）。</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八、违约责任</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.如果中标方交货逾期超过五天以上或未按合同要求供货，采购方有权终止合同，由排名第二的供应商公司供货。排名第二的供应商公司报价与中标方结算单价之间的差价部分由原中标方支付。</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.如因乙方延期开具发票给甲方导致甲方延期付款，甲方不承担违约责任。</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九、解决纠纷的方式</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因履行本合同发生争议协商解决不成的提交甲方所在地人民法院起诉解决。</w:t>
      </w:r>
      <w:r/>
    </w:p>
    <w:p>
      <w:pPr>
        <w:pStyle w:val="1296"/>
        <w:numPr>
          <w:ilvl w:val="0"/>
          <w:numId w:val="16"/>
        </w:numPr>
        <w:rPr>
          <w:rFonts w:hint="eastAsia" w:hAnsi="宋体" w:cs="宋体"/>
          <w:color w:val="000000"/>
          <w:sz w:val="24"/>
          <w:szCs w:val="24"/>
          <w:highlight w:val="none"/>
          <w:lang w:val="en-US" w:eastAsia="zh-CN" w:bidi="ar-SA"/>
        </w:rPr>
      </w:pPr>
      <w:r>
        <w:rPr>
          <w:rFonts w:hint="eastAsia" w:hAnsi="宋体" w:cs="宋体"/>
          <w:color w:val="000000"/>
          <w:sz w:val="24"/>
          <w:szCs w:val="24"/>
          <w:highlight w:val="none"/>
          <w:lang w:val="en-US" w:eastAsia="zh-CN" w:bidi="ar-SA"/>
        </w:rPr>
        <w:t xml:space="preserve">合同终止</w:t>
      </w:r>
      <w:r/>
    </w:p>
    <w:p>
      <w:pPr>
        <w:pStyle w:val="1295"/>
        <w:ind w:firstLine="420"/>
        <w:jc w:val="left"/>
        <w:keepLines w:val="0"/>
        <w:keepNext w:val="0"/>
        <w:pageBreakBefore w:val="0"/>
        <w:spacing w:line="360" w:lineRule="auto"/>
        <w:widowControl w:val="off"/>
        <w:rPr>
          <w:rFonts w:hint="default"/>
          <w:highlight w:val="none"/>
          <w:lang w:val="en-US" w:eastAsia="zh-CN"/>
        </w:rPr>
      </w:pPr>
      <w:r>
        <w:rPr>
          <w:rFonts w:hint="eastAsia" w:ascii="宋体" w:hAnsi="宋体" w:eastAsia="宋体" w:cs="宋体"/>
          <w:color w:val="000000"/>
          <w:sz w:val="24"/>
          <w:szCs w:val="24"/>
          <w:highlight w:val="none"/>
          <w:lang w:val="en-US" w:eastAsia="zh-CN" w:bidi="ar-SA"/>
        </w:rPr>
        <w:t xml:space="preserve">因无废城市建设发生变化，</w:t>
      </w:r>
      <w:r>
        <w:rPr>
          <w:rFonts w:hint="eastAsia" w:hAnsi="宋体" w:cs="宋体"/>
          <w:color w:val="000000"/>
          <w:sz w:val="24"/>
          <w:szCs w:val="24"/>
          <w:highlight w:val="none"/>
          <w:lang w:val="en-US" w:eastAsia="zh-CN" w:bidi="ar-SA"/>
        </w:rPr>
        <w:t xml:space="preserve">经双方协商，</w:t>
      </w:r>
      <w:r>
        <w:rPr>
          <w:rFonts w:hint="eastAsia" w:ascii="宋体" w:hAnsi="宋体" w:eastAsia="宋体" w:cs="宋体"/>
          <w:color w:val="000000"/>
          <w:sz w:val="24"/>
          <w:szCs w:val="24"/>
          <w:highlight w:val="none"/>
          <w:lang w:val="en-US" w:eastAsia="zh-CN" w:bidi="ar-SA"/>
        </w:rPr>
        <w:t xml:space="preserve">终止合同履行。</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w:t>
      </w:r>
      <w:r>
        <w:rPr>
          <w:rFonts w:hint="eastAsia" w:hAnsi="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bidi="ar-SA"/>
        </w:rPr>
        <w:t xml:space="preserve">、与本合同不可分割的附件</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1.产品技术要求。</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2.招标文件及相关的资料。</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3.乙方提交的投标文件。</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4.经甲、乙双方确认的其他补充协议及相关资料。</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w:t>
      </w:r>
      <w:r>
        <w:rPr>
          <w:rFonts w:hint="eastAsia" w:hAnsi="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zh-CN" w:bidi="ar-SA"/>
        </w:rPr>
        <w:t xml:space="preserve">、生效</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本合同自各方签名盖章之日起生效。见证方仅对甲乙双方签订政府采购合同的事实进行见证，不代表任何承诺或保证，该合同的履行等相关情况均与见证方无任何关系。</w:t>
      </w:r>
      <w:r/>
    </w:p>
    <w:p>
      <w:pPr>
        <w:pStyle w:val="129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w:t>
      </w:r>
      <w:r>
        <w:rPr>
          <w:rFonts w:hint="eastAsia" w:hAnsi="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zh-CN" w:bidi="ar-SA"/>
        </w:rPr>
        <w:t xml:space="preserve">、合同份数</w:t>
      </w:r>
      <w:r/>
    </w:p>
    <w:p>
      <w:pPr>
        <w:pStyle w:val="1295"/>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本合同一式陆份。甲方、乙方、采购代理机构各执贰份。</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8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甲方(盖公章):                       乙方(盖公章):</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                             代理人:</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经办人:                             经办人: </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开户银行：</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银行帐号：</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银行行号：</w:t>
      </w:r>
      <w:r/>
    </w:p>
    <w:p>
      <w:pPr>
        <w:ind w:firstLine="420"/>
        <w:jc w:val="left"/>
        <w:keepLines w:val="0"/>
        <w:keepNext w:val="0"/>
        <w:pageBreakBefore w:val="0"/>
        <w:spacing w:line="360" w:lineRule="auto"/>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5"/>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招标代理机构（见证方）（章）：</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以上格式仅为参考，以最终签订合同为准</w:t>
      </w:r>
      <w:r/>
    </w:p>
    <w:p>
      <w:pPr>
        <w:rPr>
          <w:rFonts w:hint="eastAsia" w:ascii="宋体" w:hAnsi="宋体" w:cs="宋体"/>
          <w:b/>
          <w:spacing w:val="20"/>
          <w:sz w:val="24"/>
        </w:rPr>
      </w:pPr>
      <w:r>
        <w:rPr>
          <w:rFonts w:hint="eastAsia" w:ascii="宋体" w:hAnsi="宋体" w:cs="宋体"/>
          <w:b/>
          <w:spacing w:val="20"/>
          <w:sz w:val="24"/>
        </w:rPr>
        <w:br w:type="page" w:clear="all"/>
      </w:r>
      <w:r/>
    </w:p>
    <w:p>
      <w:pPr>
        <w:rPr>
          <w:rFonts w:ascii="宋体" w:hAnsi="宋体" w:cs="宋体"/>
          <w:b/>
          <w:sz w:val="24"/>
        </w:rPr>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rPr>
          <w:rFonts w:ascii="宋体" w:hAnsi="宋体" w:cs="宋体"/>
          <w:b/>
        </w:rPr>
      </w:pPr>
      <w:r>
        <w:rPr>
          <w:rFonts w:ascii="宋体" w:hAnsi="宋体" w:cs="宋体"/>
          <w:b/>
        </w:rPr>
      </w:r>
      <w:r/>
    </w:p>
    <w:p>
      <w:pPr>
        <w:spacing w:line="360" w:lineRule="auto"/>
        <w:rPr>
          <w:rFonts w:ascii="宋体" w:hAnsi="宋体" w:cs="宋体"/>
          <w:color w:val="000000"/>
          <w:sz w:val="24"/>
          <w:szCs w:val="20"/>
        </w:rPr>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rPr>
          <w:rFonts w:ascii="宋体" w:hAnsi="宋体" w:cs="宋体"/>
          <w:b/>
          <w:bCs/>
          <w:color w:val="000000"/>
        </w:rPr>
      </w:pPr>
      <w:r>
        <w:rPr>
          <w:rFonts w:hint="eastAsia" w:ascii="宋体" w:hAnsi="宋体" w:cs="宋体"/>
          <w:b/>
          <w:color w:val="000000"/>
        </w:rPr>
        <w:t xml:space="preserve">1-1 投标人资格声明函（实质性格式）</w:t>
      </w:r>
      <w:r/>
    </w:p>
    <w:p>
      <w:pPr>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38"/>
        <w:spacing w:line="360" w:lineRule="auto"/>
        <w:rPr>
          <w:rFonts w:hAnsi="宋体" w:cs="宋体"/>
        </w:rPr>
      </w:pPr>
      <w:r>
        <w:rPr>
          <w:rFonts w:hint="eastAsia" w:hAnsi="宋体" w:cs="宋体"/>
        </w:rPr>
        <w:t xml:space="preserve">致：常州正衡招投标有限公司</w:t>
      </w:r>
      <w:r/>
    </w:p>
    <w:p>
      <w:pPr>
        <w:pStyle w:val="1038"/>
        <w:ind w:firstLine="960"/>
        <w:spacing w:line="360" w:lineRule="auto"/>
        <w:rPr>
          <w:rFonts w:hAnsi="宋体" w:cs="宋体"/>
          <w:u w:val="single"/>
        </w:rPr>
      </w:pPr>
      <w:r>
        <w:rPr>
          <w:rFonts w:hint="eastAsia" w:hAnsi="宋体" w:cs="宋体"/>
          <w:u w:val="single"/>
        </w:rPr>
        <w:t xml:space="preserve">（采购人名称）</w:t>
      </w:r>
      <w:r/>
    </w:p>
    <w:p>
      <w:pPr>
        <w:pStyle w:val="1038"/>
        <w:ind w:firstLine="480"/>
        <w:spacing w:line="360" w:lineRule="auto"/>
        <w:rPr>
          <w:rFonts w:hAnsi="宋体" w:cs="宋体"/>
        </w:rPr>
      </w:pPr>
      <w:r>
        <w:rPr>
          <w:rFonts w:hAnsi="宋体" w:cs="宋体"/>
        </w:rPr>
      </w:r>
      <w:r/>
    </w:p>
    <w:p>
      <w:pPr>
        <w:pStyle w:val="1038"/>
        <w:ind w:firstLine="480"/>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ind w:firstLine="480"/>
        <w:spacing w:line="360" w:lineRule="auto"/>
        <w:rPr>
          <w:rFonts w:ascii="宋体" w:hAnsi="宋体" w:cs="宋体"/>
          <w:sz w:val="24"/>
        </w:rPr>
      </w:pPr>
      <w:r>
        <w:rPr>
          <w:rFonts w:hint="eastAsia" w:ascii="宋体" w:hAnsi="宋体" w:cs="宋体"/>
          <w:sz w:val="24"/>
        </w:rPr>
        <w:t xml:space="preserve">一、我单位是按照中华人民共和国法律规定登记注册的，注册地点为</w:t>
      </w:r>
      <w:r>
        <w:rPr>
          <w:rFonts w:hint="eastAsia" w:ascii="宋体" w:hAnsi="宋体" w:cs="宋体"/>
          <w:sz w:val="24"/>
          <w:u w:val="single"/>
        </w:rPr>
        <w:t xml:space="preserve">         </w:t>
      </w:r>
      <w:r>
        <w:rPr>
          <w:rFonts w:hint="eastAsia" w:ascii="宋体" w:hAnsi="宋体" w:cs="宋体"/>
          <w:sz w:val="24"/>
        </w:rPr>
        <w:t xml:space="preserve">，全称为</w:t>
      </w:r>
      <w:r>
        <w:rPr>
          <w:rFonts w:hint="eastAsia" w:ascii="宋体" w:hAnsi="宋体" w:cs="宋体"/>
          <w:sz w:val="24"/>
          <w:u w:val="single"/>
        </w:rPr>
        <w:t xml:space="preserve">        </w:t>
      </w:r>
      <w:r>
        <w:rPr>
          <w:rFonts w:hint="eastAsia" w:ascii="宋体" w:hAnsi="宋体" w:cs="宋体"/>
          <w:sz w:val="24"/>
        </w:rPr>
        <w:t xml:space="preserve">，统一社会信用代码为</w:t>
      </w:r>
      <w:r>
        <w:rPr>
          <w:rFonts w:hint="eastAsia" w:ascii="宋体" w:hAnsi="宋体" w:cs="宋体"/>
          <w:sz w:val="24"/>
          <w:u w:val="single"/>
        </w:rPr>
        <w:t xml:space="preserve">            </w:t>
      </w:r>
      <w:r>
        <w:rPr>
          <w:rFonts w:hint="eastAsia" w:ascii="宋体" w:hAnsi="宋体" w:cs="宋体"/>
          <w:sz w:val="24"/>
        </w:rPr>
        <w:t xml:space="preserve">，法定代表人（单位负责人）为</w:t>
      </w:r>
      <w:r>
        <w:rPr>
          <w:rFonts w:hint="eastAsia" w:ascii="宋体" w:hAnsi="宋体" w:cs="宋体"/>
          <w:sz w:val="24"/>
          <w:u w:val="single"/>
        </w:rPr>
        <w:t xml:space="preserve">         </w:t>
      </w:r>
      <w:r>
        <w:rPr>
          <w:rFonts w:hint="eastAsia" w:ascii="宋体" w:hAnsi="宋体" w:cs="宋体"/>
          <w:sz w:val="24"/>
        </w:rPr>
        <w:t xml:space="preserve">，具有独立承担民事责任的能力（</w:t>
      </w:r>
      <w:r>
        <w:rPr>
          <w:rFonts w:hint="eastAsia" w:ascii="宋体" w:hAnsi="宋体" w:cs="宋体"/>
          <w:b/>
          <w:bCs/>
          <w:sz w:val="24"/>
        </w:rPr>
        <w:t xml:space="preserve">如属于分公司，需经总公司授权参与项目并提供总公司项目授权书，由总公司承担民事责任</w:t>
      </w:r>
      <w:r>
        <w:rPr>
          <w:rFonts w:hint="eastAsia" w:ascii="宋体" w:hAnsi="宋体" w:cs="宋体"/>
          <w:sz w:val="24"/>
        </w:rPr>
        <w:t xml:space="preserve">）。</w:t>
      </w:r>
      <w:r/>
    </w:p>
    <w:p>
      <w:pPr>
        <w:pStyle w:val="1038"/>
        <w:ind w:firstLine="480"/>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38"/>
        <w:ind w:firstLine="480"/>
        <w:spacing w:line="360" w:lineRule="auto"/>
        <w:rPr>
          <w:rFonts w:hAnsi="宋体" w:cs="宋体"/>
        </w:rPr>
      </w:pPr>
      <w:r>
        <w:rPr>
          <w:rFonts w:hint="eastAsia" w:hAnsi="宋体" w:cs="宋体"/>
        </w:rPr>
        <w:t xml:space="preserve">三、我单位依法进行纳税和社会保险申报并实际履行了义务。</w:t>
      </w:r>
      <w:r/>
    </w:p>
    <w:p>
      <w:pPr>
        <w:pStyle w:val="1038"/>
        <w:ind w:firstLine="480"/>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38"/>
        <w:ind w:firstLine="480"/>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1038"/>
        <w:ind w:firstLine="480"/>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38"/>
        <w:ind w:firstLine="480"/>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8"/>
        <w:ind w:firstLine="480"/>
        <w:spacing w:line="360" w:lineRule="auto"/>
        <w:rPr>
          <w:rFonts w:hAnsi="宋体" w:cs="宋体"/>
        </w:rPr>
      </w:pPr>
      <w:r>
        <w:rPr>
          <w:rFonts w:hint="eastAsia" w:hAnsi="宋体" w:cs="宋体"/>
        </w:rPr>
        <w:t xml:space="preserve">六、我单位具备法律、行政法规规定的其他条件。</w:t>
      </w:r>
      <w:r/>
    </w:p>
    <w:p>
      <w:pPr>
        <w:pStyle w:val="1038"/>
        <w:ind w:firstLine="480"/>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38"/>
        <w:ind w:firstLine="480"/>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38"/>
        <w:ind w:firstLine="480"/>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38"/>
        <w:ind w:firstLine="480"/>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38"/>
        <w:ind w:firstLine="480"/>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1038"/>
        <w:ind w:firstLine="480"/>
        <w:spacing w:line="360" w:lineRule="auto"/>
        <w:rPr>
          <w:rFonts w:hAnsi="宋体" w:cs="宋体"/>
        </w:rPr>
      </w:pPr>
      <w:r>
        <w:rPr>
          <w:rFonts w:hint="eastAsia" w:hAnsi="宋体" w:cs="宋体"/>
        </w:rPr>
        <w:t xml:space="preserve">九、我单位无以下不良信用记录情形：</w:t>
      </w:r>
      <w:r/>
    </w:p>
    <w:p>
      <w:pPr>
        <w:pStyle w:val="1038"/>
        <w:ind w:firstLine="480"/>
        <w:spacing w:line="360" w:lineRule="auto"/>
        <w:rPr>
          <w:rFonts w:hAnsi="宋体" w:cs="宋体"/>
        </w:rPr>
      </w:pPr>
      <w:r>
        <w:rPr>
          <w:rFonts w:hint="eastAsia" w:hAnsi="宋体" w:cs="宋体"/>
        </w:rPr>
        <w:t xml:space="preserve">1、在“信用中国”网站被列入失信被执行人和重大税收违法案件当事人名单；</w:t>
      </w:r>
      <w:r/>
    </w:p>
    <w:p>
      <w:pPr>
        <w:pStyle w:val="1038"/>
        <w:ind w:firstLine="480"/>
        <w:spacing w:line="360" w:lineRule="auto"/>
        <w:rPr>
          <w:rFonts w:hAnsi="宋体" w:cs="宋体"/>
        </w:rPr>
      </w:pPr>
      <w:r>
        <w:rPr>
          <w:rFonts w:hint="eastAsia" w:hAnsi="宋体" w:cs="宋体"/>
        </w:rPr>
        <w:t xml:space="preserve">2、在“中国政府采购网”网站被列入政府采购严重违法失信行为记录名单；</w:t>
      </w:r>
      <w:r/>
    </w:p>
    <w:p>
      <w:pPr>
        <w:pStyle w:val="1038"/>
        <w:ind w:firstLine="480"/>
        <w:spacing w:line="360" w:lineRule="auto"/>
        <w:rPr>
          <w:rFonts w:hAnsi="宋体" w:cs="宋体"/>
        </w:rPr>
      </w:pPr>
      <w:r>
        <w:rPr>
          <w:rFonts w:hint="eastAsia" w:hAnsi="宋体" w:cs="宋体"/>
        </w:rPr>
        <w:t xml:space="preserve">3、不符合《政府采购法》第二十二条规定的条件。</w:t>
      </w:r>
      <w:r/>
    </w:p>
    <w:p>
      <w:pPr>
        <w:pStyle w:val="1038"/>
        <w:ind w:firstLine="480"/>
        <w:spacing w:line="360" w:lineRule="auto"/>
        <w:rPr>
          <w:rFonts w:hAnsi="宋体" w:cs="宋体"/>
        </w:rPr>
      </w:pPr>
      <w:r>
        <w:rPr>
          <w:rFonts w:hAnsi="宋体" w:cs="宋体"/>
        </w:rPr>
      </w:r>
      <w:r/>
    </w:p>
    <w:p>
      <w:pPr>
        <w:pStyle w:val="1038"/>
        <w:ind w:firstLine="480"/>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38"/>
        <w:ind w:firstLine="480"/>
        <w:spacing w:line="360" w:lineRule="auto"/>
        <w:rPr>
          <w:rFonts w:hAnsi="宋体" w:cs="宋体"/>
        </w:rPr>
      </w:pPr>
      <w:r>
        <w:rPr>
          <w:rFonts w:hAnsi="宋体" w:cs="宋体"/>
        </w:rPr>
      </w:r>
      <w:r/>
    </w:p>
    <w:p>
      <w:pPr>
        <w:pStyle w:val="1038"/>
        <w:ind w:firstLine="480"/>
        <w:spacing w:line="360" w:lineRule="auto"/>
        <w:rPr>
          <w:rFonts w:hAnsi="宋体" w:cs="宋体"/>
        </w:rPr>
      </w:pPr>
      <w:r>
        <w:rPr>
          <w:rFonts w:hAnsi="宋体" w:cs="宋体"/>
        </w:rPr>
      </w:r>
      <w:r/>
    </w:p>
    <w:p>
      <w:pPr>
        <w:pStyle w:val="1038"/>
        <w:ind w:firstLine="0"/>
        <w:spacing w:line="360" w:lineRule="auto"/>
        <w:rPr>
          <w:rFonts w:hAnsi="宋体" w:cs="宋体"/>
        </w:rPr>
      </w:pPr>
      <w:r>
        <w:rPr>
          <w:rFonts w:hint="eastAsia" w:hAnsi="宋体" w:cs="宋体"/>
        </w:rPr>
        <w:t xml:space="preserve">投标人：（加盖公章）</w:t>
      </w:r>
      <w:r/>
    </w:p>
    <w:p>
      <w:pPr>
        <w:pStyle w:val="1038"/>
        <w:ind w:firstLine="0"/>
        <w:spacing w:line="360" w:lineRule="auto"/>
        <w:rPr>
          <w:rFonts w:hAnsi="宋体" w:cs="宋体"/>
        </w:rPr>
      </w:pPr>
      <w:r>
        <w:rPr>
          <w:rFonts w:hint="eastAsia" w:hAnsi="宋体" w:cs="宋体"/>
        </w:rPr>
        <w:t xml:space="preserve">法定代表人（或单位负责人）签字或盖章：</w:t>
      </w:r>
      <w:r/>
    </w:p>
    <w:p>
      <w:pPr>
        <w:pStyle w:val="1038"/>
        <w:ind w:firstLine="0"/>
        <w:spacing w:line="360" w:lineRule="auto"/>
        <w:rPr>
          <w:rFonts w:hAnsi="宋体" w:cs="宋体"/>
        </w:rPr>
      </w:pPr>
      <w:r>
        <w:rPr>
          <w:rFonts w:hint="eastAsia" w:hAnsi="宋体" w:cs="宋体"/>
        </w:rPr>
        <w:t xml:space="preserve">日期：    年    月    日</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rPr>
          <w:rFonts w:ascii="宋体" w:hAnsi="宋体" w:cs="宋体"/>
          <w:b/>
          <w:bCs/>
          <w:color w:val="000000"/>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color w:val="000000"/>
        </w:rPr>
        <w:t xml:space="preserve">1-2 营业执照副本</w:t>
      </w:r>
      <w:r>
        <w:rPr>
          <w:rFonts w:hint="eastAsia" w:ascii="宋体" w:hAnsi="宋体" w:cs="宋体"/>
          <w:b/>
          <w:color w:val="000000"/>
        </w:rPr>
        <w:t xml:space="preserve">（实质性格式）</w:t>
      </w:r>
      <w:r/>
    </w:p>
    <w:p>
      <w:pPr>
        <w:spacing w:line="360" w:lineRule="auto"/>
        <w:rPr>
          <w:color w:val="000000"/>
          <w:sz w:val="24"/>
          <w:szCs w:val="20"/>
        </w:rPr>
      </w:pPr>
      <w:r>
        <w:rPr>
          <w:rFonts w:hint="eastAsia" w:ascii="宋体" w:hAnsi="宋体" w:cs="宋体"/>
          <w:color w:val="000000"/>
        </w:rPr>
        <w:br w:type="page" w:clear="all"/>
      </w:r>
      <w:r>
        <w:rPr>
          <w:rFonts w:hint="eastAsia"/>
          <w:color w:val="000000"/>
          <w:sz w:val="24"/>
          <w:szCs w:val="20"/>
        </w:rPr>
        <w:t xml:space="preserve">2</w:t>
      </w:r>
      <w:r>
        <w:rPr>
          <w:color w:val="000000"/>
          <w:sz w:val="24"/>
          <w:szCs w:val="20"/>
        </w:rPr>
        <w:t xml:space="preserve"> 落实政府采购政策需满足的资格要求</w:t>
      </w:r>
      <w:r/>
    </w:p>
    <w:p>
      <w:pPr>
        <w:spacing w:line="360" w:lineRule="auto"/>
        <w:rPr>
          <w:color w:val="000000"/>
          <w:sz w:val="24"/>
          <w:szCs w:val="20"/>
        </w:rPr>
        <w:outlineLvl w:val="2"/>
      </w:pPr>
      <w:r>
        <w:rPr>
          <w:rFonts w:hint="eastAsia"/>
          <w:color w:val="000000"/>
          <w:sz w:val="24"/>
          <w:szCs w:val="20"/>
        </w:rPr>
        <w:t xml:space="preserve">2</w:t>
      </w:r>
      <w:r>
        <w:rPr>
          <w:color w:val="000000"/>
          <w:sz w:val="24"/>
          <w:szCs w:val="20"/>
        </w:rPr>
        <w:t xml:space="preserve">-1中小企业声明函</w:t>
      </w:r>
      <w:r/>
    </w:p>
    <w:p>
      <w:pPr>
        <w:spacing w:line="360" w:lineRule="auto"/>
        <w:tabs>
          <w:tab w:val="left" w:pos="5580" w:leader="none"/>
        </w:tabs>
        <w:rPr>
          <w:rFonts w:ascii="宋体" w:hAnsi="宋体"/>
          <w:sz w:val="24"/>
        </w:rPr>
      </w:pPr>
      <w:r>
        <w:rPr>
          <w:rFonts w:ascii="宋体" w:hAnsi="宋体"/>
          <w:sz w:val="24"/>
        </w:rPr>
        <w:t xml:space="preserve">说明：</w:t>
      </w:r>
      <w:r/>
    </w:p>
    <w:p>
      <w:pPr>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p>
    <w:p>
      <w:pPr>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rPr>
      </w:pPr>
      <w:r>
        <w:rPr>
          <w:rFonts w:hint="eastAsia" w:ascii="宋体" w:hAnsi="宋体"/>
          <w:sz w:val="24"/>
        </w:rPr>
        <w:t xml:space="preserve">（4）其他</w:t>
      </w:r>
      <w:r/>
    </w:p>
    <w:p>
      <w:pPr>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ascii="宋体" w:hAnsi="宋体"/>
          <w:sz w:val="24"/>
        </w:rPr>
      </w:pPr>
      <w:r>
        <w:rPr>
          <w:rFonts w:ascii="宋体" w:hAnsi="宋体"/>
          <w:sz w:val="24"/>
        </w:rPr>
      </w:r>
      <w:r/>
    </w:p>
    <w:p>
      <w:pPr>
        <w:jc w:val="left"/>
        <w:widowControl/>
        <w:rPr>
          <w:rFonts w:ascii="宋体" w:hAnsi="宋体"/>
          <w:sz w:val="24"/>
        </w:rPr>
      </w:pPr>
      <w:r>
        <w:rPr>
          <w:rFonts w:ascii="宋体" w:hAnsi="宋体"/>
          <w:sz w:val="24"/>
        </w:rPr>
        <w:br w:type="page" w:clear="all"/>
      </w:r>
      <w:r/>
    </w:p>
    <w:p>
      <w:pPr>
        <w:jc w:val="center"/>
        <w:spacing w:before="319" w:after="319" w:line="360" w:lineRule="auto"/>
        <w:rPr>
          <w:rFonts w:ascii="宋体" w:hAnsi="宋体"/>
          <w:b/>
          <w:color w:val="000000"/>
          <w:sz w:val="36"/>
          <w:szCs w:val="36"/>
        </w:rPr>
      </w:pPr>
      <w:r>
        <w:rPr>
          <w:rFonts w:hint="eastAsia" w:ascii="宋体" w:hAnsi="宋体"/>
          <w:b/>
          <w:bCs/>
          <w:color w:val="000000"/>
          <w:sz w:val="36"/>
          <w:szCs w:val="36"/>
        </w:rPr>
        <w:t xml:space="preserve">中小企业声明函（货物）格式</w:t>
      </w:r>
      <w:r/>
    </w:p>
    <w:p>
      <w:pPr>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u w:val="single"/>
          <w:lang w:val="en-US" w:eastAsia="zh-CN"/>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u w:val="single"/>
          <w:lang w:val="en-US" w:eastAsia="zh-CN"/>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ind w:firstLine="504"/>
        <w:spacing w:line="360" w:lineRule="auto"/>
        <w:rPr>
          <w:rFonts w:ascii="宋体" w:hAnsi="宋体"/>
          <w:spacing w:val="6"/>
          <w:sz w:val="24"/>
        </w:rPr>
      </w:pPr>
      <w:r>
        <w:rPr>
          <w:rFonts w:ascii="宋体" w:hAnsi="宋体"/>
          <w:spacing w:val="6"/>
          <w:sz w:val="24"/>
        </w:rPr>
      </w:r>
      <w:r/>
    </w:p>
    <w:p>
      <w:pPr>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ind w:right="360" w:firstLine="480"/>
        <w:jc w:val="right"/>
        <w:spacing w:line="360" w:lineRule="auto"/>
        <w:rPr>
          <w:rFonts w:ascii="宋体" w:hAnsi="宋体"/>
          <w:color w:val="000000"/>
          <w:sz w:val="24"/>
        </w:rPr>
      </w:pPr>
      <w:r>
        <w:rPr>
          <w:rFonts w:ascii="宋体" w:hAnsi="宋体"/>
          <w:color w:val="000000"/>
          <w:sz w:val="24"/>
        </w:rPr>
      </w:r>
      <w:r/>
    </w:p>
    <w:p>
      <w:pPr>
        <w:ind w:right="360" w:firstLine="480"/>
        <w:jc w:val="right"/>
        <w:spacing w:line="360" w:lineRule="auto"/>
        <w:rPr>
          <w:rFonts w:ascii="宋体" w:hAnsi="宋体"/>
          <w:color w:val="000000"/>
          <w:sz w:val="24"/>
        </w:rPr>
      </w:pPr>
      <w:r>
        <w:rPr>
          <w:rFonts w:ascii="宋体" w:hAnsi="宋体"/>
          <w:color w:val="000000"/>
          <w:sz w:val="24"/>
        </w:rPr>
      </w:r>
      <w:r/>
    </w:p>
    <w:tbl>
      <w:tblPr>
        <w:tblStyle w:val="103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ind w:firstLine="420"/>
        <w:jc w:val="left"/>
        <w:rPr>
          <w:rFonts w:ascii="宋体" w:hAnsi="宋体"/>
          <w:sz w:val="24"/>
        </w:rPr>
      </w:pPr>
      <w:r>
        <w:rPr>
          <w:rFonts w:ascii="宋体" w:hAnsi="宋体"/>
          <w:sz w:val="24"/>
        </w:rPr>
      </w:r>
      <w:r/>
    </w:p>
    <w:p>
      <w:pPr>
        <w:spacing w:line="360" w:lineRule="auto"/>
        <w:rPr>
          <w:rFonts w:ascii="宋体" w:hAnsi="宋体"/>
          <w:color w:val="000000"/>
          <w:sz w:val="24"/>
        </w:rPr>
      </w:pPr>
      <w:r>
        <w:rPr>
          <w:rFonts w:ascii="宋体" w:hAnsi="宋体"/>
          <w:color w:val="000000"/>
          <w:sz w:val="24"/>
        </w:rPr>
      </w:r>
      <w:r/>
    </w:p>
    <w:p>
      <w:pPr>
        <w:ind w:right="360" w:firstLine="480"/>
        <w:jc w:val="right"/>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20"/>
        </w:rPr>
        <w:outlineLvl w:val="2"/>
      </w:pPr>
      <w:r>
        <w:rPr>
          <w:rFonts w:ascii="宋体" w:hAnsi="宋体"/>
          <w:color w:val="000000"/>
          <w:sz w:val="24"/>
          <w:szCs w:val="20"/>
        </w:rPr>
        <w:br w:type="page" w:clear="all"/>
      </w:r>
      <w:r/>
    </w:p>
    <w:p>
      <w:pPr>
        <w:jc w:val="center"/>
        <w:spacing w:before="319" w:after="319"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日  期：</w:t>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jc w:val="left"/>
        <w:widowControl/>
        <w:rPr>
          <w:rFonts w:ascii="宋体" w:hAnsi="宋体" w:cs="宋体"/>
          <w:b/>
          <w:sz w:val="32"/>
          <w:szCs w:val="32"/>
        </w:rPr>
      </w:pPr>
      <w:r>
        <w:rPr>
          <w:rFonts w:ascii="宋体" w:hAnsi="宋体"/>
          <w:color w:val="000000"/>
          <w:sz w:val="24"/>
          <w:szCs w:val="20"/>
        </w:rPr>
        <w:br w:type="page" w:clear="all"/>
      </w:r>
      <w:r>
        <w:rPr>
          <w:rFonts w:hint="eastAsia" w:ascii="宋体" w:hAnsi="宋体" w:cs="宋体"/>
          <w:b/>
          <w:sz w:val="32"/>
          <w:szCs w:val="32"/>
        </w:rPr>
        <w:t xml:space="preserve">二、商务技术文件格式</w:t>
      </w:r>
      <w:bookmarkStart w:id="792" w:name="_Toc480942349"/>
      <w:r/>
      <w:bookmarkStart w:id="793" w:name="_Toc226337252"/>
      <w:r/>
      <w:bookmarkStart w:id="794" w:name="_Toc142311058"/>
      <w:r/>
      <w:bookmarkStart w:id="795" w:name="_Toc226965829"/>
      <w:r/>
      <w:bookmarkStart w:id="796" w:name="_Toc520356217"/>
      <w:r/>
      <w:bookmarkStart w:id="797" w:name="_Toc226309800"/>
      <w:r/>
      <w:bookmarkStart w:id="798" w:name="_Toc150480794"/>
      <w:r/>
      <w:bookmarkStart w:id="799" w:name="_Toc195842921"/>
      <w:r/>
      <w:bookmarkStart w:id="800" w:name="_Toc127151556"/>
      <w:r/>
      <w:bookmarkStart w:id="801" w:name="_Toc226965746"/>
      <w:r/>
      <w:bookmarkStart w:id="802" w:name="_Toc150774761"/>
      <w:r/>
      <w:bookmarkStart w:id="803" w:name="_Ref467988698"/>
      <w:r/>
      <w:r/>
    </w:p>
    <w:p>
      <w:pPr>
        <w:jc w:val="center"/>
        <w:widowControl/>
        <w:rPr>
          <w:rFonts w:ascii="宋体" w:hAnsi="宋体" w:cs="宋体"/>
          <w:b/>
          <w:sz w:val="32"/>
          <w:szCs w:val="32"/>
        </w:rPr>
      </w:pPr>
      <w:r>
        <w:rPr>
          <w:rFonts w:ascii="宋体" w:hAnsi="宋体" w:cs="宋体"/>
          <w:b/>
          <w:sz w:val="32"/>
          <w:szCs w:val="32"/>
        </w:rPr>
      </w:r>
      <w:r/>
    </w:p>
    <w:p>
      <w:pPr>
        <w:spacing w:line="360" w:lineRule="auto"/>
        <w:rPr>
          <w:rFonts w:ascii="宋体" w:hAnsi="宋体" w:cs="宋体"/>
          <w:color w:val="000000"/>
          <w:sz w:val="24"/>
          <w:szCs w:val="20"/>
        </w:rPr>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08"/>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08"/>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jc w:val="left"/>
        <w:widowControl/>
        <w:rPr>
          <w:rFonts w:ascii="宋体" w:hAnsi="宋体" w:cs="宋体"/>
          <w:color w:val="000000"/>
          <w:sz w:val="24"/>
        </w:rPr>
      </w:pPr>
      <w:r/>
      <w:bookmarkStart w:id="804" w:name="_Hlt520356243"/>
      <w:r/>
      <w:bookmarkEnd w:id="804"/>
      <w:r/>
      <w:bookmarkStart w:id="805" w:name="_Hlt520355938"/>
      <w:r/>
      <w:bookmarkEnd w:id="805"/>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法定代表人资格证明书</w:t>
      </w:r>
      <w:r/>
    </w:p>
    <w:p>
      <w:pPr>
        <w:spacing w:line="560" w:lineRule="exact"/>
        <w:rPr>
          <w:rFonts w:ascii="宋体" w:hAnsi="宋体" w:cs="宋体"/>
          <w:sz w:val="24"/>
        </w:rPr>
      </w:pPr>
      <w:r>
        <w:rPr>
          <w:rFonts w:hint="eastAsia" w:ascii="宋体" w:hAnsi="宋体" w:cs="宋体"/>
          <w:sz w:val="24"/>
        </w:rPr>
        <w:t xml:space="preserve">单位名称:</w:t>
      </w:r>
      <w:r/>
    </w:p>
    <w:p>
      <w:pPr>
        <w:spacing w:line="560" w:lineRule="exact"/>
        <w:rPr>
          <w:rFonts w:ascii="宋体" w:hAnsi="宋体" w:cs="宋体"/>
          <w:sz w:val="24"/>
        </w:rPr>
      </w:pPr>
      <w:r>
        <w:rPr>
          <w:rFonts w:hint="eastAsia" w:ascii="宋体" w:hAnsi="宋体" w:cs="宋体"/>
          <w:sz w:val="24"/>
        </w:rPr>
        <w:t xml:space="preserve">地址:</w:t>
      </w:r>
      <w:r/>
    </w:p>
    <w:p>
      <w:pPr>
        <w:spacing w:line="560" w:lineRule="exact"/>
        <w:rPr>
          <w:rFonts w:ascii="宋体" w:hAnsi="宋体" w:cs="宋体"/>
          <w:sz w:val="24"/>
        </w:rPr>
      </w:pPr>
      <w:r>
        <w:rPr>
          <w:rFonts w:hint="eastAsia" w:ascii="宋体" w:hAnsi="宋体" w:cs="宋体"/>
          <w:sz w:val="24"/>
        </w:rPr>
        <w:t xml:space="preserve">姓名:     性别:       年龄:      职务:</w:t>
      </w:r>
      <w:r/>
    </w:p>
    <w:p>
      <w:pPr>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spacing w:line="560" w:lineRule="exact"/>
        <w:rPr>
          <w:rFonts w:ascii="宋体" w:hAnsi="宋体" w:cs="宋体"/>
          <w:sz w:val="24"/>
        </w:rPr>
      </w:pPr>
      <w:r>
        <w:rPr>
          <w:rFonts w:hint="eastAsia" w:ascii="宋体" w:hAnsi="宋体" w:cs="宋体"/>
          <w:sz w:val="24"/>
        </w:rPr>
        <w:t xml:space="preserve">特此证明。</w:t>
      </w:r>
      <w:r/>
    </w:p>
    <w:p>
      <w:pPr>
        <w:spacing w:line="560" w:lineRule="exact"/>
        <w:rPr>
          <w:rFonts w:ascii="宋体" w:hAnsi="宋体" w:cs="宋体"/>
          <w:sz w:val="24"/>
        </w:rPr>
      </w:pPr>
      <w:r>
        <w:rPr>
          <w:rFonts w:ascii="宋体" w:hAnsi="宋体" w:cs="宋体"/>
          <w:sz w:val="24"/>
        </w:rPr>
      </w:r>
      <w:r/>
    </w:p>
    <w:p>
      <w:pPr>
        <w:pStyle w:val="1043"/>
        <w:ind w:right="-46"/>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103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spacing w:line="560" w:lineRule="exact"/>
        <w:rPr>
          <w:rFonts w:ascii="宋体" w:hAnsi="宋体" w:cs="宋体"/>
          <w:sz w:val="24"/>
        </w:rPr>
      </w:pPr>
      <w:r>
        <w:rPr>
          <w:rFonts w:hint="eastAsia" w:ascii="宋体" w:hAnsi="宋体" w:cs="宋体"/>
          <w:sz w:val="24"/>
        </w:rPr>
        <w:t xml:space="preserve">               投标人：（加盖公章）</w:t>
      </w:r>
      <w:r/>
    </w:p>
    <w:p>
      <w:pPr>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（单位负责人）签字、签章或印鉴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（1）.若供应商为事业单位或其他组织或分支机构（仅当招标文件注明允许分支机构投标的），则法定代表人处的签署人可为单位负责人。</w:t>
      </w:r>
      <w:r/>
    </w:p>
    <w:p>
      <w:pPr>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spacing w:line="360" w:lineRule="auto"/>
        <w:rPr>
          <w:rFonts w:ascii="宋体" w:hAnsi="宋体" w:cs="宋体"/>
          <w:color w:val="000000"/>
          <w:sz w:val="24"/>
        </w:rPr>
      </w:pPr>
      <w:r>
        <w:rPr>
          <w:rFonts w:hint="eastAsia" w:ascii="宋体" w:hAnsi="宋体" w:cs="宋体"/>
          <w:color w:val="000000"/>
          <w:sz w:val="24"/>
        </w:rPr>
        <w:t xml:space="preserve">职务：</w:t>
      </w:r>
      <w:r/>
    </w:p>
    <w:p>
      <w:pPr>
        <w:spacing w:line="360" w:lineRule="auto"/>
        <w:rPr>
          <w:rFonts w:ascii="宋体" w:hAnsi="宋体" w:cs="宋体"/>
          <w:color w:val="000000"/>
          <w:sz w:val="24"/>
        </w:rPr>
      </w:pPr>
      <w:r>
        <w:rPr>
          <w:rFonts w:hint="eastAsia" w:ascii="宋体" w:hAnsi="宋体" w:cs="宋体"/>
          <w:color w:val="000000"/>
          <w:sz w:val="24"/>
        </w:rPr>
        <w:t xml:space="preserve">联系电话：</w:t>
      </w:r>
      <w:r/>
    </w:p>
    <w:p>
      <w:pPr>
        <w:spacing w:line="360" w:lineRule="auto"/>
        <w:rPr>
          <w:rFonts w:ascii="宋体" w:hAnsi="宋体" w:cs="宋体"/>
          <w:color w:val="000000"/>
          <w:sz w:val="24"/>
        </w:rPr>
      </w:pPr>
      <w:r>
        <w:rPr>
          <w:rFonts w:hint="eastAsia" w:ascii="宋体" w:hAnsi="宋体" w:cs="宋体"/>
          <w:color w:val="000000"/>
          <w:sz w:val="24"/>
        </w:rPr>
        <w:t xml:space="preserve">单位名称：</w:t>
      </w:r>
      <w:r/>
    </w:p>
    <w:p>
      <w:pPr>
        <w:spacing w:line="360" w:lineRule="auto"/>
        <w:rPr>
          <w:rFonts w:ascii="宋体" w:hAnsi="宋体" w:cs="宋体"/>
          <w:color w:val="000000"/>
          <w:sz w:val="24"/>
        </w:rPr>
      </w:pPr>
      <w:r>
        <w:rPr>
          <w:rFonts w:hint="eastAsia" w:ascii="宋体" w:hAnsi="宋体" w:cs="宋体"/>
          <w:color w:val="000000"/>
          <w:sz w:val="24"/>
        </w:rPr>
        <w:t xml:space="preserve">地址：</w:t>
      </w:r>
      <w:bookmarkStart w:id="884" w:name="_GoBack"/>
      <w:r/>
      <w:bookmarkEnd w:id="884"/>
      <w:r/>
      <w:r/>
    </w:p>
    <w:p>
      <w:pPr>
        <w:spacing w:line="360" w:lineRule="auto"/>
        <w:rPr>
          <w:rFonts w:ascii="宋体" w:hAnsi="宋体" w:cs="宋体"/>
          <w:color w:val="000000"/>
          <w:sz w:val="24"/>
        </w:rPr>
      </w:pPr>
      <w:r>
        <w:rPr>
          <w:rFonts w:hint="eastAsia" w:ascii="宋体" w:hAnsi="宋体" w:cs="宋体"/>
          <w:color w:val="000000"/>
          <w:sz w:val="24"/>
        </w:rPr>
        <w:t xml:space="preserve">身份证号码：</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spacing w:line="360" w:lineRule="auto"/>
        <w:rPr>
          <w:rFonts w:ascii="宋体" w:hAnsi="宋体" w:cs="宋体"/>
          <w:color w:val="000000"/>
          <w:sz w:val="24"/>
        </w:rPr>
      </w:pPr>
      <w:r>
        <w:rPr>
          <w:rFonts w:hint="eastAsia" w:ascii="宋体" w:hAnsi="宋体" w:cs="宋体"/>
          <w:color w:val="000000"/>
          <w:sz w:val="24"/>
        </w:rPr>
        <w:t xml:space="preserve">职务：</w:t>
      </w:r>
      <w:r/>
    </w:p>
    <w:p>
      <w:pPr>
        <w:spacing w:line="360" w:lineRule="auto"/>
        <w:rPr>
          <w:rFonts w:ascii="宋体" w:hAnsi="宋体" w:cs="宋体"/>
          <w:color w:val="000000"/>
          <w:sz w:val="24"/>
        </w:rPr>
      </w:pPr>
      <w:r>
        <w:rPr>
          <w:rFonts w:hint="eastAsia" w:ascii="宋体" w:hAnsi="宋体" w:cs="宋体"/>
          <w:color w:val="000000"/>
          <w:sz w:val="24"/>
        </w:rPr>
        <w:t xml:space="preserve">联系电话：</w:t>
      </w:r>
      <w:r/>
    </w:p>
    <w:p>
      <w:pPr>
        <w:spacing w:line="360" w:lineRule="auto"/>
        <w:rPr>
          <w:rFonts w:ascii="宋体" w:hAnsi="宋体" w:cs="宋体"/>
          <w:color w:val="000000"/>
          <w:sz w:val="24"/>
        </w:rPr>
      </w:pPr>
      <w:r>
        <w:rPr>
          <w:rFonts w:hint="eastAsia" w:ascii="宋体" w:hAnsi="宋体" w:cs="宋体"/>
          <w:color w:val="000000"/>
          <w:sz w:val="24"/>
        </w:rPr>
        <w:t xml:space="preserve">单位名称：</w:t>
      </w:r>
      <w:r/>
    </w:p>
    <w:p>
      <w:pPr>
        <w:spacing w:line="360" w:lineRule="auto"/>
        <w:rPr>
          <w:rFonts w:ascii="宋体" w:hAnsi="宋体" w:cs="宋体"/>
          <w:color w:val="000000"/>
          <w:sz w:val="24"/>
        </w:rPr>
      </w:pPr>
      <w:r>
        <w:rPr>
          <w:rFonts w:hint="eastAsia" w:ascii="宋体" w:hAnsi="宋体" w:cs="宋体"/>
          <w:color w:val="000000"/>
          <w:sz w:val="24"/>
        </w:rPr>
        <w:t xml:space="preserve">地址：</w:t>
      </w:r>
      <w:r/>
    </w:p>
    <w:p>
      <w:pPr>
        <w:spacing w:line="360" w:lineRule="auto"/>
        <w:rPr>
          <w:rFonts w:ascii="宋体" w:hAnsi="宋体" w:cs="宋体"/>
          <w:color w:val="000000"/>
          <w:sz w:val="24"/>
        </w:rPr>
      </w:pPr>
      <w:r>
        <w:rPr>
          <w:rFonts w:hint="eastAsia" w:ascii="宋体" w:hAnsi="宋体" w:cs="宋体"/>
          <w:color w:val="000000"/>
          <w:sz w:val="24"/>
        </w:rPr>
        <w:t xml:space="preserve">身份证号码：</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投标人公章： </w:t>
      </w:r>
      <w:r/>
    </w:p>
    <w:p>
      <w:pPr>
        <w:spacing w:line="360" w:lineRule="auto"/>
        <w:rPr>
          <w:rFonts w:ascii="宋体" w:hAnsi="宋体" w:cs="宋体"/>
          <w:color w:val="000000"/>
          <w:sz w:val="24"/>
        </w:rPr>
      </w:pPr>
      <w:r>
        <w:rPr>
          <w:rFonts w:hint="eastAsia" w:ascii="宋体" w:hAnsi="宋体" w:cs="宋体"/>
          <w:color w:val="000000"/>
          <w:sz w:val="24"/>
        </w:rPr>
        <w:t xml:space="preserve">地址：</w:t>
      </w:r>
      <w:r/>
    </w:p>
    <w:p>
      <w:pPr>
        <w:spacing w:line="360" w:lineRule="auto"/>
        <w:rPr>
          <w:rFonts w:ascii="宋体" w:hAnsi="宋体" w:cs="宋体"/>
          <w:color w:val="000000"/>
          <w:sz w:val="24"/>
        </w:rPr>
      </w:pPr>
      <w:r>
        <w:rPr>
          <w:rFonts w:hint="eastAsia" w:ascii="宋体" w:hAnsi="宋体" w:cs="宋体"/>
          <w:color w:val="000000"/>
          <w:sz w:val="24"/>
        </w:rPr>
        <w:t xml:space="preserve">电话：</w:t>
      </w:r>
      <w:r/>
    </w:p>
    <w:p>
      <w:pPr>
        <w:spacing w:line="360" w:lineRule="auto"/>
        <w:rPr>
          <w:rFonts w:ascii="宋体" w:hAnsi="宋体" w:cs="宋体"/>
          <w:color w:val="000000"/>
          <w:sz w:val="24"/>
        </w:rPr>
      </w:pPr>
      <w:r>
        <w:rPr>
          <w:rFonts w:hint="eastAsia" w:ascii="宋体" w:hAnsi="宋体" w:cs="宋体"/>
          <w:color w:val="000000"/>
          <w:sz w:val="24"/>
        </w:rPr>
        <w:t xml:space="preserve">传真：</w:t>
      </w:r>
      <w:r/>
    </w:p>
    <w:p>
      <w:pPr>
        <w:spacing w:line="360" w:lineRule="auto"/>
        <w:rPr>
          <w:rFonts w:ascii="宋体" w:hAnsi="宋体" w:cs="宋体"/>
          <w:color w:val="000000"/>
          <w:sz w:val="24"/>
        </w:rPr>
      </w:pPr>
      <w:r>
        <w:rPr>
          <w:rFonts w:hint="eastAsia" w:ascii="宋体" w:hAnsi="宋体" w:cs="宋体"/>
          <w:color w:val="000000"/>
          <w:sz w:val="24"/>
        </w:rPr>
        <w:t xml:space="preserve">邮编：</w:t>
      </w:r>
      <w:r/>
    </w:p>
    <w:p>
      <w:pPr>
        <w:spacing w:line="360" w:lineRule="auto"/>
        <w:rPr>
          <w:rFonts w:ascii="宋体" w:hAnsi="宋体" w:cs="宋体"/>
          <w:color w:val="000000"/>
          <w:sz w:val="24"/>
        </w:rPr>
      </w:pPr>
      <w:r>
        <w:rPr>
          <w:rFonts w:hint="eastAsia" w:ascii="宋体" w:hAnsi="宋体" w:cs="宋体"/>
          <w:color w:val="000000"/>
          <w:sz w:val="24"/>
        </w:rPr>
        <w:t xml:space="preserve">开户行：</w:t>
      </w:r>
      <w:r/>
    </w:p>
    <w:p>
      <w:pPr>
        <w:spacing w:line="360" w:lineRule="auto"/>
        <w:rPr>
          <w:rFonts w:ascii="宋体" w:hAnsi="宋体" w:cs="宋体"/>
          <w:color w:val="000000"/>
          <w:sz w:val="24"/>
        </w:rPr>
      </w:pPr>
      <w:r>
        <w:rPr>
          <w:rFonts w:hint="eastAsia" w:ascii="宋体" w:hAnsi="宋体" w:cs="宋体"/>
          <w:color w:val="000000"/>
          <w:sz w:val="24"/>
        </w:rPr>
        <w:t xml:space="preserve">账号：</w:t>
      </w:r>
      <w:r/>
    </w:p>
    <w:p>
      <w:pPr>
        <w:spacing w:line="360" w:lineRule="auto"/>
        <w:rPr>
          <w:rFonts w:ascii="宋体" w:hAnsi="宋体" w:cs="宋体"/>
          <w:color w:val="000000"/>
          <w:sz w:val="24"/>
        </w:rPr>
      </w:pPr>
      <w:r>
        <w:rPr>
          <w:rFonts w:hint="eastAsia" w:ascii="宋体" w:hAnsi="宋体" w:cs="宋体"/>
          <w:color w:val="000000"/>
          <w:sz w:val="24"/>
        </w:rPr>
        <w:t xml:space="preserve">代理人身份证</w:t>
      </w:r>
      <w:r/>
    </w:p>
    <w:p>
      <w:pPr>
        <w:spacing w:line="360" w:lineRule="auto"/>
        <w:rPr>
          <w:rFonts w:ascii="宋体" w:hAnsi="宋体" w:cs="宋体"/>
          <w:color w:val="000000"/>
          <w:sz w:val="24"/>
        </w:rPr>
      </w:pPr>
      <w:r>
        <w:rPr>
          <w:rFonts w:hint="eastAsia" w:ascii="宋体" w:hAnsi="宋体" w:cs="宋体"/>
          <w:color w:val="000000"/>
          <w:sz w:val="24"/>
        </w:rPr>
        <w:t xml:space="preserve">（复印件）粘贴处</w:t>
      </w:r>
      <w:r/>
    </w:p>
    <w:p>
      <w:pPr>
        <w:jc w:val="left"/>
        <w:widowControl/>
        <w:rPr>
          <w:rFonts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政府采购供应商信用承诺书</w:t>
      </w:r>
      <w:r/>
    </w:p>
    <w:p>
      <w:pPr>
        <w:ind w:firstLine="480"/>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360" w:lineRule="auto"/>
        <w:rPr>
          <w:rFonts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spacing w:before="25" w:after="25" w:line="360" w:lineRule="auto"/>
        <w:rPr>
          <w:rFonts w:ascii="宋体" w:hAnsi="宋体" w:cs="宋体"/>
          <w:color w:val="000000"/>
          <w:sz w:val="24"/>
        </w:rPr>
      </w:pPr>
      <w:r>
        <w:rPr>
          <w:rFonts w:ascii="宋体" w:hAnsi="宋体" w:cs="宋体"/>
          <w:color w:val="000000"/>
          <w:sz w:val="24"/>
        </w:rPr>
      </w:r>
      <w:r/>
    </w:p>
    <w:p>
      <w:pPr>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jc w:val="left"/>
        <w:widowControl/>
        <w:rPr>
          <w:rFonts w:ascii="宋体" w:hAnsi="宋体" w:cs="宋体"/>
          <w:color w:val="000000"/>
          <w:sz w:val="24"/>
          <w:szCs w:val="20"/>
        </w:rPr>
      </w:pPr>
      <w:r/>
      <w:bookmarkStart w:id="806" w:name="_Hlt520350918"/>
      <w:r/>
      <w:bookmarkEnd w:id="806"/>
      <w:r/>
      <w:bookmarkStart w:id="807" w:name="_Hlt520355504"/>
      <w:r/>
      <w:bookmarkEnd w:id="807"/>
      <w:r/>
      <w:bookmarkStart w:id="808" w:name="_Hlt520343000"/>
      <w:r/>
      <w:bookmarkEnd w:id="808"/>
      <w:r/>
      <w:bookmarkStart w:id="809" w:name="_Hlt520274121"/>
      <w:r/>
      <w:bookmarkEnd w:id="809"/>
      <w:r/>
      <w:bookmarkStart w:id="810" w:name="_Hlt520273711"/>
      <w:r/>
      <w:bookmarkEnd w:id="810"/>
      <w:r/>
      <w:bookmarkStart w:id="811" w:name="_Hlt520343392"/>
      <w:r/>
      <w:bookmarkEnd w:id="811"/>
      <w:r/>
      <w:bookmarkStart w:id="812" w:name="_Hlt520274393"/>
      <w:r/>
      <w:bookmarkEnd w:id="812"/>
      <w:r/>
      <w:bookmarkStart w:id="813" w:name="_Hlt520271212"/>
      <w:r/>
      <w:bookmarkEnd w:id="813"/>
      <w:r/>
      <w:bookmarkStart w:id="814" w:name="_Hlt520274407"/>
      <w:r/>
      <w:bookmarkEnd w:id="814"/>
      <w:r/>
      <w:bookmarkStart w:id="815" w:name="_Hlt520274065"/>
      <w:r/>
      <w:bookmarkEnd w:id="815"/>
      <w:r/>
      <w:bookmarkStart w:id="816" w:name="_Toc226965747"/>
      <w:r/>
      <w:bookmarkStart w:id="817" w:name="_Toc226965830"/>
      <w:r/>
      <w:bookmarkStart w:id="818" w:name="_Toc226309801"/>
      <w:r/>
      <w:bookmarkStart w:id="819" w:name="_Toc305158825"/>
      <w:r/>
      <w:bookmarkStart w:id="820" w:name="_Toc226337253"/>
      <w:r/>
      <w:bookmarkStart w:id="821" w:name="_Toc150480795"/>
      <w:r/>
      <w:bookmarkStart w:id="822" w:name="_Toc265228395"/>
      <w:r/>
      <w:bookmarkStart w:id="823" w:name="_Toc520356218"/>
      <w:r/>
      <w:bookmarkStart w:id="824" w:name="_Toc264969247"/>
      <w:r/>
      <w:bookmarkStart w:id="825" w:name="_Ref467988705"/>
      <w:r/>
      <w:bookmarkStart w:id="826" w:name="_Toc480942350"/>
      <w:r/>
      <w:bookmarkStart w:id="827" w:name="_Toc150774762"/>
      <w:r/>
      <w:bookmarkStart w:id="828" w:name="_Toc127151557"/>
      <w:r/>
      <w:bookmarkStart w:id="829" w:name="_Toc142311059"/>
      <w:r/>
      <w:bookmarkStart w:id="830" w:name="_Toc305158899"/>
      <w:r/>
      <w:bookmarkStart w:id="831" w:name="_Toc195842922"/>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cs="宋体"/>
          <w:color w:val="000000"/>
          <w:sz w:val="24"/>
          <w:szCs w:val="20"/>
        </w:rPr>
        <w:t xml:space="preserve">（实质性格式）</w:t>
      </w:r>
      <w:r/>
    </w:p>
    <w:p>
      <w:pPr>
        <w:jc w:val="center"/>
        <w:spacing w:before="159" w:after="159" w:line="360" w:lineRule="auto"/>
        <w:widowControl/>
        <w:rPr>
          <w:rFonts w:ascii="宋体" w:hAnsi="宋体" w:cs="宋体"/>
          <w:b/>
          <w:sz w:val="28"/>
          <w:szCs w:val="28"/>
        </w:rPr>
      </w:pPr>
      <w:r/>
      <w:bookmarkStart w:id="832" w:name="_Toc305158900"/>
      <w:r/>
      <w:bookmarkStart w:id="833" w:name="_Toc265228396"/>
      <w:r/>
      <w:bookmarkStart w:id="834" w:name="_Toc226309802"/>
      <w:r/>
      <w:bookmarkStart w:id="835" w:name="_Toc195842923"/>
      <w:r/>
      <w:bookmarkStart w:id="836" w:name="_Toc164608827"/>
      <w:r/>
      <w:bookmarkStart w:id="837" w:name="_Toc264969248"/>
      <w:r/>
      <w:bookmarkStart w:id="838" w:name="_Toc226337254"/>
      <w:r/>
      <w:bookmarkStart w:id="839" w:name="_Toc226965831"/>
      <w:r/>
      <w:bookmarkStart w:id="840" w:name="_Toc305158826"/>
      <w:r/>
      <w:bookmarkStart w:id="841" w:name="_Toc226965748"/>
      <w:r/>
      <w:bookmarkStart w:id="842" w:name="_Toc164608672"/>
      <w:r>
        <w:rPr>
          <w:rFonts w:hint="eastAsia" w:ascii="宋体" w:hAnsi="宋体" w:cs="宋体"/>
          <w:b/>
          <w:sz w:val="28"/>
          <w:szCs w:val="28"/>
        </w:rPr>
        <w:t xml:space="preserve">开标一览表</w:t>
      </w:r>
      <w:bookmarkEnd w:id="832"/>
      <w:r/>
      <w:bookmarkEnd w:id="833"/>
      <w:r/>
      <w:bookmarkEnd w:id="834"/>
      <w:r/>
      <w:bookmarkEnd w:id="835"/>
      <w:r/>
      <w:bookmarkEnd w:id="836"/>
      <w:r/>
      <w:bookmarkEnd w:id="837"/>
      <w:r/>
      <w:bookmarkEnd w:id="838"/>
      <w:r/>
      <w:bookmarkEnd w:id="839"/>
      <w:r/>
      <w:bookmarkEnd w:id="840"/>
      <w:r/>
      <w:bookmarkEnd w:id="841"/>
      <w:r/>
      <w:bookmarkEnd w:id="842"/>
      <w:r/>
      <w:r/>
    </w:p>
    <w:p>
      <w:pPr>
        <w:ind w:firstLine="24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项目编号：_____________________     项目名称：____________</w:t>
      </w:r>
      <w:r/>
    </w:p>
    <w:p>
      <w:pPr>
        <w:pStyle w:val="1043"/>
        <w:ind w:firstLine="240"/>
      </w:pPr>
      <w:r>
        <w:rPr>
          <w:rFonts w:hint="eastAsia" w:cs="宋体"/>
          <w:color w:val="000000"/>
        </w:rPr>
        <w:t xml:space="preserve">单位：</w:t>
      </w:r>
      <w:r>
        <w:rPr>
          <w:rFonts w:cs="宋体"/>
          <w:b/>
        </w:rPr>
        <w:t xml:space="preserve">元</w:t>
      </w:r>
      <w:r/>
    </w:p>
    <w:tbl>
      <w:tblPr>
        <w:tblStyle w:val="1036"/>
        <w:tblW w:w="51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72"/>
        <w:gridCol w:w="3396"/>
        <w:gridCol w:w="1822"/>
        <w:gridCol w:w="1818"/>
      </w:tblGrid>
      <w:tr>
        <w:trPr>
          <w:jc w:val="center"/>
          <w:trHeight w:val="531"/>
        </w:trPr>
        <w:tc>
          <w:tcPr>
            <w:tcW w:w="913"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1972"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13"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p>
        </w:tc>
      </w:tr>
      <w:tr>
        <w:trPr>
          <w:jc w:val="center"/>
          <w:trHeight w:val="674"/>
        </w:trPr>
        <w:tc>
          <w:tcPr>
            <w:tcW w:w="913" w:type="pct"/>
            <w:vAlign w:val="center"/>
            <w:vMerge w:val="continue"/>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W w:w="1972" w:type="pct"/>
            <w:vAlign w:val="center"/>
            <w:vMerge w:val="continue"/>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W w:w="105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5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913"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W w:w="1972"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W w:w="1058"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W w:w="1055"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r>
    </w:tbl>
    <w:p>
      <w:pPr>
        <w:jc w:val="left"/>
        <w:rPr>
          <w:rFonts w:ascii="宋体" w:hAnsi="宋体" w:cs="宋体"/>
          <w:color w:val="000000"/>
          <w:sz w:val="24"/>
        </w:rPr>
      </w:pPr>
      <w:r>
        <w:rPr>
          <w:rFonts w:ascii="宋体" w:hAnsi="宋体" w:cs="宋体"/>
          <w:color w:val="000000"/>
          <w:sz w:val="24"/>
        </w:rPr>
      </w:r>
      <w:r/>
    </w:p>
    <w:p>
      <w:pPr>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jc w:val="left"/>
        <w:widowControl/>
        <w:rPr>
          <w:color w:val="000000"/>
          <w:sz w:val="24"/>
          <w:szCs w:val="20"/>
        </w:rPr>
      </w:pPr>
      <w:r/>
      <w:bookmarkStart w:id="843" w:name="_Toc226337255"/>
      <w:r/>
      <w:bookmarkStart w:id="844" w:name="_Toc195842924"/>
      <w:r/>
      <w:bookmarkStart w:id="845" w:name="_Toc142311060"/>
      <w:r/>
      <w:bookmarkStart w:id="846" w:name="_Toc226965832"/>
      <w:r/>
      <w:bookmarkStart w:id="847" w:name="_Toc226965749"/>
      <w:r/>
      <w:bookmarkStart w:id="848" w:name="_Toc226309803"/>
      <w:r/>
      <w:bookmarkStart w:id="849" w:name="_Toc305158901"/>
      <w:r/>
      <w:bookmarkStart w:id="850" w:name="_Toc305158827"/>
      <w:r/>
      <w:bookmarkStart w:id="851" w:name="_Toc265228397"/>
      <w:r/>
      <w:bookmarkStart w:id="852" w:name="_Toc150480796"/>
      <w:r/>
      <w:bookmarkStart w:id="853" w:name="_Toc150774763"/>
      <w:r/>
      <w:bookmarkStart w:id="854" w:name="_Toc264969249"/>
      <w:r/>
      <w:bookmarkStart w:id="855" w:name="_Toc127151558"/>
      <w:r>
        <w:rPr>
          <w:rFonts w:hint="eastAsia" w:ascii="宋体" w:hAnsi="宋体" w:cs="宋体"/>
          <w:color w:val="000000"/>
          <w:sz w:val="24"/>
          <w:szCs w:val="20"/>
        </w:rPr>
        <w:br w:type="page" w:clear="all"/>
      </w:r>
      <w:r/>
    </w:p>
    <w:p>
      <w:pPr>
        <w:spacing w:line="360" w:lineRule="auto"/>
        <w:rPr>
          <w:color w:val="000000"/>
          <w:sz w:val="24"/>
          <w:szCs w:val="20"/>
        </w:rPr>
        <w:outlineLvl w:val="2"/>
      </w:pPr>
      <w:r>
        <w:rPr>
          <w:rFonts w:hint="eastAsia"/>
          <w:color w:val="000000"/>
          <w:sz w:val="24"/>
          <w:szCs w:val="20"/>
        </w:rPr>
        <w:t xml:space="preserve">5 </w:t>
      </w:r>
      <w:r>
        <w:rPr>
          <w:color w:val="000000"/>
          <w:sz w:val="24"/>
          <w:szCs w:val="20"/>
        </w:rPr>
        <w:t xml:space="preserve"> 分项报价表</w:t>
      </w:r>
      <w:r>
        <w:rPr>
          <w:rFonts w:hint="eastAsia" w:ascii="宋体" w:hAnsi="宋体" w:cs="宋体"/>
          <w:color w:val="000000"/>
          <w:sz w:val="24"/>
          <w:szCs w:val="20"/>
        </w:rPr>
        <w:t xml:space="preserve">（实质性格式）</w:t>
      </w:r>
      <w:r/>
    </w:p>
    <w:p>
      <w:pPr>
        <w:jc w:val="center"/>
        <w:spacing w:line="360" w:lineRule="exact"/>
        <w:rPr>
          <w:color w:val="000000"/>
          <w:sz w:val="36"/>
          <w:szCs w:val="36"/>
        </w:rPr>
      </w:pPr>
      <w:r>
        <w:rPr>
          <w:color w:val="000000"/>
          <w:sz w:val="36"/>
          <w:szCs w:val="36"/>
        </w:rPr>
      </w:r>
      <w:r/>
    </w:p>
    <w:p>
      <w:pPr>
        <w:jc w:val="center"/>
        <w:spacing w:line="360" w:lineRule="exact"/>
        <w:rPr>
          <w:b/>
          <w:color w:val="000000"/>
          <w:sz w:val="36"/>
          <w:szCs w:val="36"/>
        </w:rPr>
      </w:pPr>
      <w:r>
        <w:rPr>
          <w:b/>
          <w:color w:val="000000"/>
          <w:sz w:val="36"/>
          <w:szCs w:val="36"/>
        </w:rPr>
        <w:t xml:space="preserve">分项报价表</w:t>
      </w:r>
      <w:r/>
    </w:p>
    <w:p>
      <w:pPr>
        <w:jc w:val="center"/>
        <w:spacing w:line="260" w:lineRule="exact"/>
        <w:rPr>
          <w:color w:val="000000"/>
          <w:sz w:val="36"/>
          <w:szCs w:val="36"/>
        </w:rPr>
      </w:pPr>
      <w:r>
        <w:rPr>
          <w:color w:val="000000"/>
          <w:sz w:val="36"/>
          <w:szCs w:val="36"/>
        </w:rPr>
      </w:r>
      <w:r/>
    </w:p>
    <w:p>
      <w:pPr>
        <w:jc w:val="center"/>
        <w:spacing w:line="260" w:lineRule="exact"/>
        <w:rPr>
          <w:color w:val="000000"/>
          <w:sz w:val="36"/>
          <w:szCs w:val="36"/>
        </w:rPr>
      </w:pPr>
      <w:r>
        <w:rPr>
          <w:color w:val="000000"/>
          <w:sz w:val="36"/>
          <w:szCs w:val="36"/>
        </w:rPr>
      </w:r>
      <w:r/>
    </w:p>
    <w:p>
      <w:pPr>
        <w:pStyle w:val="1043"/>
      </w:pPr>
      <w:r/>
      <w:r/>
    </w:p>
    <w:p>
      <w:pPr>
        <w:tabs>
          <w:tab w:val="left" w:pos="1800" w:leader="none"/>
          <w:tab w:val="left" w:pos="5580" w:leader="none"/>
        </w:tabs>
        <w:rPr>
          <w:color w:val="000000"/>
          <w:sz w:val="24"/>
        </w:rPr>
      </w:pPr>
      <w:r>
        <w:rPr>
          <w:color w:val="000000"/>
          <w:sz w:val="24"/>
        </w:rPr>
        <w:t xml:space="preserve">项目编号：___________ 项目名称：__________报价单位：人民币元</w:t>
      </w:r>
      <w:r/>
    </w:p>
    <w:tbl>
      <w:tblPr>
        <w:tblStyle w:val="1036"/>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w:t>
            </w:r>
            <w:r/>
          </w:p>
          <w:p>
            <w:pPr>
              <w:jc w:val="center"/>
              <w:spacing w:line="360" w:lineRule="auto"/>
              <w:widowControl/>
              <w:rPr>
                <w:rFonts w:ascii="宋体" w:hAnsi="宋体" w:cs="Arial"/>
                <w:sz w:val="24"/>
              </w:rPr>
            </w:pPr>
            <w:r>
              <w:rPr>
                <w:rFonts w:hint="eastAsia" w:ascii="宋体" w:hAnsi="宋体" w:cs="Arial"/>
                <w:sz w:val="24"/>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飞灰螯合剂</w:t>
            </w:r>
            <w:r/>
          </w:p>
          <w:p>
            <w:pPr>
              <w:jc w:val="cente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（哌嗪-DTC-钾盐）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lang w:val="en-US" w:eastAsia="zh-CN"/>
              </w:rPr>
            </w:pPr>
            <w:r>
              <w:rPr>
                <w:rFonts w:hint="eastAsia" w:ascii="宋体" w:hAnsi="宋体" w:cs="Arial"/>
                <w:sz w:val="24"/>
                <w:lang w:val="en-US" w:eastAsia="zh-CN"/>
              </w:rPr>
              <w:t xml:space="preserve">220</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cs="Arial"/>
                <w:sz w:val="24"/>
                <w:lang w:val="en-US" w:eastAsia="zh-CN"/>
              </w:rPr>
              <w:t xml:space="preserve">吨</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飞灰螯合剂</w:t>
            </w:r>
            <w:r/>
          </w:p>
          <w:p>
            <w:pPr>
              <w:jc w:val="center"/>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（福美钠）</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hint="default" w:ascii="宋体" w:hAnsi="宋体" w:eastAsia="宋体" w:cs="Arial"/>
                <w:sz w:val="24"/>
                <w:lang w:val="en-US" w:eastAsia="zh-CN"/>
              </w:rPr>
            </w:pPr>
            <w:r>
              <w:rPr>
                <w:rFonts w:hint="eastAsia" w:ascii="宋体" w:hAnsi="宋体" w:cs="Arial"/>
                <w:sz w:val="24"/>
                <w:lang w:val="en-US" w:eastAsia="zh-CN"/>
              </w:rPr>
              <w:t xml:space="preserve">80</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hint="eastAsia" w:ascii="宋体" w:hAnsi="宋体" w:eastAsia="宋体" w:cs="Arial"/>
                <w:sz w:val="24"/>
                <w:lang w:val="en-US" w:eastAsia="zh-CN"/>
              </w:rPr>
            </w:pPr>
            <w:r>
              <w:rPr>
                <w:rFonts w:hint="eastAsia" w:ascii="宋体" w:hAnsi="宋体" w:cs="Arial"/>
                <w:sz w:val="24"/>
                <w:lang w:val="en-US" w:eastAsia="zh-CN"/>
              </w:rPr>
              <w:t xml:space="preserve">吨</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color w:val="000000"/>
          <w:sz w:val="24"/>
        </w:rPr>
      </w:pPr>
      <w:r>
        <w:rPr>
          <w:color w:val="000000"/>
          <w:sz w:val="24"/>
        </w:rPr>
        <w:t xml:space="preserve">注：1.本表应按</w:t>
      </w:r>
      <w:r>
        <w:rPr>
          <w:rFonts w:hint="eastAsia"/>
          <w:color w:val="000000"/>
          <w:sz w:val="24"/>
          <w:lang w:val="en-US" w:eastAsia="zh-CN"/>
        </w:rPr>
        <w:t xml:space="preserve">采购包</w:t>
      </w:r>
      <w:r>
        <w:rPr>
          <w:color w:val="000000"/>
          <w:sz w:val="24"/>
        </w:rPr>
        <w:t xml:space="preserve">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p>
    <w:p>
      <w:pPr>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spacing w:line="400" w:lineRule="exact"/>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val="en-US" w:eastAsia="zh-CN" w:bidi="ar"/>
        </w:rPr>
        <w:t xml:space="preserve">5.本项目投标总价、</w:t>
      </w:r>
      <w:r>
        <w:rPr>
          <w:rFonts w:hint="eastAsia" w:ascii="宋体" w:hAnsi="宋体" w:eastAsia="宋体" w:cs="宋体"/>
          <w:b/>
          <w:bCs/>
          <w:color w:val="000000"/>
          <w:szCs w:val="21"/>
          <w:highlight w:val="none"/>
          <w:lang w:bidi="ar"/>
        </w:rPr>
        <w:t xml:space="preserve">螯合剂价格不得超过最高限价</w:t>
      </w:r>
      <w:r>
        <w:rPr>
          <w:rFonts w:hint="eastAsia" w:ascii="宋体" w:hAnsi="宋体" w:eastAsia="宋体" w:cs="宋体"/>
          <w:b/>
          <w:bCs/>
          <w:color w:val="000000"/>
          <w:szCs w:val="21"/>
          <w:highlight w:val="none"/>
          <w:lang w:eastAsia="zh-CN" w:bidi="ar"/>
        </w:rPr>
        <w:t xml:space="preserve">、</w:t>
      </w:r>
      <w:r>
        <w:rPr>
          <w:rFonts w:hint="eastAsia" w:ascii="宋体" w:hAnsi="宋体" w:eastAsia="宋体" w:cs="宋体"/>
          <w:b/>
          <w:bCs/>
          <w:color w:val="000000"/>
          <w:szCs w:val="21"/>
          <w:highlight w:val="none"/>
          <w:lang w:val="en-US" w:eastAsia="zh-CN" w:bidi="ar"/>
        </w:rPr>
        <w:t xml:space="preserve">综合单价限价</w:t>
      </w:r>
      <w:r>
        <w:rPr>
          <w:rFonts w:hint="eastAsia" w:ascii="宋体" w:hAnsi="宋体" w:eastAsia="宋体" w:cs="宋体"/>
          <w:b/>
          <w:bCs/>
          <w:color w:val="000000"/>
          <w:szCs w:val="21"/>
          <w:highlight w:val="none"/>
          <w:lang w:bidi="ar"/>
        </w:rPr>
        <w:t xml:space="preserve">，否则视为无效投标</w:t>
      </w:r>
      <w:r>
        <w:rPr>
          <w:rFonts w:hint="eastAsia" w:ascii="宋体" w:hAnsi="宋体" w:eastAsia="宋体" w:cs="宋体"/>
          <w:b/>
          <w:bCs/>
          <w:color w:val="000000"/>
          <w:szCs w:val="21"/>
          <w:highlight w:val="none"/>
          <w:lang w:eastAsia="zh-CN" w:bidi="ar"/>
        </w:rPr>
        <w:t xml:space="preserve">。</w:t>
      </w:r>
      <w:r/>
    </w:p>
    <w:p>
      <w:pPr>
        <w:spacing w:before="25" w:after="25" w:line="360" w:lineRule="auto"/>
        <w:rPr>
          <w:color w:val="000000"/>
          <w:sz w:val="24"/>
        </w:rPr>
      </w:pPr>
      <w:r>
        <w:rPr>
          <w:color w:val="000000"/>
          <w:sz w:val="24"/>
        </w:rPr>
      </w:r>
      <w:r/>
    </w:p>
    <w:p>
      <w:pPr>
        <w:spacing w:before="25" w:after="25" w:line="360" w:lineRule="auto"/>
        <w:rPr>
          <w:color w:val="000000"/>
          <w:sz w:val="24"/>
        </w:rPr>
      </w:pPr>
      <w:r>
        <w:rPr>
          <w:color w:val="000000"/>
          <w:sz w:val="24"/>
        </w:rPr>
      </w:r>
      <w:r/>
    </w:p>
    <w:p>
      <w:pPr>
        <w:spacing w:before="25" w:after="25" w:line="360" w:lineRule="auto"/>
        <w:rPr>
          <w:color w:val="000000"/>
          <w:sz w:val="24"/>
          <w:lang w:val="zh-CN"/>
        </w:rPr>
      </w:pPr>
      <w:r>
        <w:rPr>
          <w:rFonts w:hint="eastAsia" w:ascii="宋体" w:hAnsi="宋体" w:cs="宋体"/>
          <w:color w:val="000000"/>
          <w:sz w:val="24"/>
        </w:rPr>
        <w:t xml:space="preserve">投标人</w:t>
      </w:r>
      <w:r>
        <w:rPr>
          <w:color w:val="000000"/>
          <w:sz w:val="24"/>
        </w:rPr>
        <w:t xml:space="preserve">名称（加盖公章）</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日期：_____年______月______日   </w:t>
      </w:r>
      <w:r/>
    </w:p>
    <w:p>
      <w:pPr>
        <w:spacing w:line="360" w:lineRule="auto"/>
        <w:rPr>
          <w:rFonts w:ascii="宋体" w:hAnsi="宋体" w:cs="宋体"/>
          <w:color w:val="000000"/>
          <w:sz w:val="24"/>
          <w:szCs w:val="20"/>
        </w:rPr>
      </w:pPr>
      <w:r>
        <w:rPr>
          <w:rFonts w:hint="eastAsia" w:ascii="宋体" w:hAnsi="宋体" w:cs="宋体"/>
          <w:color w:val="000000"/>
          <w:sz w:val="24"/>
          <w:szCs w:val="20"/>
        </w:rPr>
        <w:br w:type="page" w:clear="all"/>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Start w:id="856" w:name="_Toc226309806"/>
      <w:r/>
      <w:bookmarkStart w:id="857" w:name="_Toc142311062"/>
      <w:r/>
      <w:bookmarkStart w:id="858" w:name="_Toc150774765"/>
      <w:r/>
      <w:bookmarkStart w:id="859" w:name="_Toc305158904"/>
      <w:r/>
      <w:bookmarkStart w:id="860" w:name="_Toc265228400"/>
      <w:r/>
      <w:bookmarkStart w:id="861" w:name="_Toc150480798"/>
      <w:r/>
      <w:bookmarkStart w:id="862" w:name="_Toc226965752"/>
      <w:r/>
      <w:bookmarkStart w:id="863" w:name="_Toc127151562"/>
      <w:r/>
      <w:bookmarkStart w:id="864" w:name="_Toc264969252"/>
      <w:r/>
      <w:bookmarkStart w:id="865" w:name="_Toc305158830"/>
      <w:r/>
      <w:bookmarkStart w:id="866" w:name="_Toc226337258"/>
      <w:r/>
      <w:bookmarkStart w:id="867" w:name="_Toc226965835"/>
      <w:r/>
      <w:bookmarkStart w:id="868" w:name="_Toc195842927"/>
      <w:r/>
      <w:bookmarkStart w:id="869" w:name="_Toc195842926"/>
      <w:r/>
      <w:bookmarkStart w:id="870" w:name="_Toc142311061"/>
      <w:r/>
      <w:bookmarkStart w:id="871" w:name="_Toc150774764"/>
      <w:r/>
      <w:bookmarkStart w:id="872" w:name="_Toc226965834"/>
      <w:r/>
      <w:bookmarkStart w:id="873" w:name="_Toc264969251"/>
      <w:r/>
      <w:bookmarkStart w:id="874" w:name="_Toc226965751"/>
      <w:r/>
      <w:bookmarkStart w:id="875" w:name="_Toc265228399"/>
      <w:r/>
      <w:bookmarkStart w:id="876" w:name="_Toc226309805"/>
      <w:r/>
      <w:bookmarkStart w:id="877" w:name="_Toc305158829"/>
      <w:r/>
      <w:bookmarkStart w:id="878" w:name="_Toc150480797"/>
      <w:r/>
      <w:bookmarkStart w:id="879" w:name="_Toc305158903"/>
      <w:r/>
      <w:bookmarkStart w:id="880" w:name="_Toc226337257"/>
      <w:r/>
      <w:bookmarkStart w:id="881" w:name="_Toc127151561"/>
      <w:r>
        <w:rPr>
          <w:rFonts w:hint="eastAsia" w:ascii="宋体" w:hAnsi="宋体" w:cs="宋体"/>
          <w:color w:val="000000"/>
          <w:sz w:val="24"/>
          <w:szCs w:val="20"/>
        </w:rPr>
        <w:t xml:space="preserve">6  合同条款偏离表</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宋体" w:hAnsi="宋体" w:cs="宋体"/>
          <w:color w:val="000000"/>
          <w:sz w:val="24"/>
          <w:szCs w:val="20"/>
        </w:rPr>
        <w:t xml:space="preserve">（实质性格式）</w:t>
      </w:r>
      <w:r/>
    </w:p>
    <w:p>
      <w:pPr>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项目编号/标段：_____________________     项目名称：_____________</w:t>
      </w:r>
      <w:r/>
    </w:p>
    <w:tbl>
      <w:tblPr>
        <w:tblStyle w:val="10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214"/>
        <w:gridCol w:w="1786"/>
        <w:gridCol w:w="1787"/>
        <w:gridCol w:w="2173"/>
        <w:gridCol w:w="740"/>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rFonts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hint="eastAsia" w:ascii="宋体" w:hAnsi="宋体" w:cs="宋体"/>
          <w:color w:val="000000"/>
          <w:sz w:val="24"/>
          <w:szCs w:val="20"/>
        </w:rPr>
        <w:t xml:space="preserve">采购需求偏离表（实质性格式）</w:t>
      </w:r>
      <w:r/>
    </w:p>
    <w:p>
      <w:pPr>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项目编号/标段：_____________________     项目名称：____________</w:t>
      </w:r>
      <w:r/>
    </w:p>
    <w:tbl>
      <w:tblPr>
        <w:tblStyle w:val="103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szCs w:val="20"/>
        </w:rPr>
      </w:pPr>
      <w:r>
        <w:rPr>
          <w:rFonts w:ascii="宋体" w:hAnsi="宋体" w:cs="宋体"/>
          <w:color w:val="000000"/>
          <w:sz w:val="24"/>
          <w:szCs w:val="20"/>
        </w:rPr>
      </w:r>
      <w:r/>
    </w:p>
    <w:p>
      <w:pPr>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80" w:lineRule="auto"/>
        <w:rPr>
          <w:sz w:val="24"/>
          <w:lang w:val="zh-CN"/>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8、 项目实施方案等，包括但不限于如下主题：</w:t>
      </w:r>
      <w:r/>
    </w:p>
    <w:p>
      <w:pPr>
        <w:spacing w:line="360" w:lineRule="auto"/>
        <w:rPr>
          <w:rFonts w:hint="default" w:ascii="宋体" w:hAnsi="宋体" w:eastAsia="宋体" w:cs="宋体"/>
          <w:color w:val="000000"/>
          <w:sz w:val="24"/>
          <w:szCs w:val="20"/>
          <w:lang w:val="en-US" w:eastAsia="zh-CN"/>
        </w:rPr>
        <w:outlineLvl w:val="2"/>
      </w:pPr>
      <w:r>
        <w:rPr>
          <w:rFonts w:hint="eastAsia"/>
          <w:color w:val="000000"/>
          <w:sz w:val="24"/>
          <w:lang w:val="en-US" w:eastAsia="zh-CN"/>
        </w:rPr>
        <w:t xml:space="preserve">根据评分标准方案填写</w:t>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rPr>
          <w:rFonts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jc w:val="center"/>
        <w:spacing w:before="159" w:after="159" w:line="360" w:lineRule="auto"/>
        <w:widowControl/>
        <w:rPr>
          <w:rFonts w:ascii="宋体" w:hAnsi="宋体" w:cs="宋体"/>
          <w:b/>
          <w:sz w:val="28"/>
          <w:szCs w:val="28"/>
        </w:rPr>
      </w:pPr>
      <w:r>
        <w:rPr>
          <w:rFonts w:ascii="宋体" w:hAnsi="宋体" w:cs="宋体"/>
          <w:b/>
          <w:sz w:val="28"/>
          <w:szCs w:val="28"/>
        </w:rPr>
      </w:r>
      <w:r/>
    </w:p>
    <w:p>
      <w:pPr>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参加本项目人员一览表</w:t>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36"/>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ascii="宋体" w:hAnsi="宋体" w:cs="宋体"/>
          <w:sz w:val="24"/>
        </w:rPr>
      </w:pPr>
      <w:r>
        <w:rPr>
          <w:rFonts w:ascii="宋体" w:hAnsi="宋体" w:cs="宋体"/>
          <w:sz w:val="24"/>
        </w:rPr>
      </w:r>
      <w:r/>
    </w:p>
    <w:p>
      <w:pPr>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rFonts w:ascii="宋体" w:hAnsi="宋体" w:cs="宋体"/>
          <w:color w:val="000000"/>
          <w:sz w:val="24"/>
          <w:szCs w:val="20"/>
        </w:rPr>
      </w:pPr>
      <w:r>
        <w:rPr>
          <w:rFonts w:hint="eastAsia" w:ascii="宋体" w:hAnsi="宋体" w:cs="宋体"/>
          <w:sz w:val="22"/>
        </w:rPr>
        <w:br w:type="page" w:clear="all"/>
      </w:r>
      <w:bookmarkStart w:id="882" w:name="_Toc288738397"/>
      <w:r/>
      <w:bookmarkStart w:id="883" w:name="_Toc288738839"/>
      <w:r>
        <w:rPr>
          <w:rFonts w:hint="eastAsia" w:ascii="宋体" w:hAnsi="宋体" w:cs="宋体"/>
          <w:color w:val="000000"/>
          <w:sz w:val="24"/>
          <w:szCs w:val="20"/>
        </w:rPr>
        <w:t xml:space="preserve">11 相关业绩案例一览表</w:t>
      </w:r>
      <w:r/>
    </w:p>
    <w:p>
      <w:pPr>
        <w:pStyle w:val="1081"/>
        <w:rPr>
          <w:rFonts w:ascii="宋体" w:hAnsi="宋体" w:cs="宋体"/>
          <w:szCs w:val="20"/>
        </w:rPr>
      </w:pPr>
      <w:r>
        <w:rPr>
          <w:rFonts w:ascii="宋体" w:hAnsi="宋体" w:cs="宋体"/>
          <w:szCs w:val="20"/>
        </w:rPr>
      </w:r>
      <w:r/>
    </w:p>
    <w:p>
      <w:pPr>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2"/>
      <w:r/>
      <w:bookmarkEnd w:id="883"/>
      <w:r/>
      <w:r/>
    </w:p>
    <w:p>
      <w:pPr>
        <w:ind w:firstLine="480"/>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36"/>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br w:type="page" w:clear="all"/>
      </w:r>
      <w:r/>
    </w:p>
    <w:p>
      <w:pPr>
        <w:numPr>
          <w:ilvl w:val="0"/>
          <w:numId w:val="17"/>
        </w:numPr>
        <w:rPr>
          <w:rFonts w:hint="eastAsia" w:ascii="宋体" w:hAnsi="宋体" w:cs="宋体"/>
          <w:color w:val="000000"/>
          <w:sz w:val="24"/>
          <w:szCs w:val="20"/>
          <w:lang w:val="en-US" w:eastAsia="zh-CN"/>
        </w:rPr>
      </w:pPr>
      <w:r>
        <w:rPr>
          <w:rFonts w:hint="eastAsia" w:ascii="宋体" w:hAnsi="宋体" w:cs="宋体"/>
          <w:color w:val="000000"/>
          <w:sz w:val="24"/>
          <w:szCs w:val="20"/>
          <w:lang w:val="en-US" w:eastAsia="zh-CN"/>
        </w:rPr>
        <w:t xml:space="preserve">送 样 承 诺</w:t>
      </w:r>
      <w:r/>
    </w:p>
    <w:p>
      <w:pPr>
        <w:jc w:val="center"/>
        <w:spacing w:before="159" w:after="159" w:line="360" w:lineRule="auto"/>
        <w:widowControl/>
        <w:rPr>
          <w:rFonts w:hint="eastAsia" w:ascii="宋体" w:hAnsi="宋体" w:cs="宋体"/>
          <w:b/>
          <w:sz w:val="28"/>
          <w:szCs w:val="28"/>
          <w:lang w:val="en-US" w:eastAsia="zh-CN"/>
        </w:rPr>
      </w:pPr>
      <w:r>
        <w:rPr>
          <w:rFonts w:hint="eastAsia" w:ascii="宋体" w:hAnsi="宋体" w:cs="宋体"/>
          <w:b/>
          <w:sz w:val="28"/>
          <w:szCs w:val="28"/>
          <w:lang w:val="en-US" w:eastAsia="zh-CN"/>
        </w:rPr>
      </w:r>
      <w:r/>
    </w:p>
    <w:p>
      <w:pPr>
        <w:jc w:val="center"/>
        <w:spacing w:before="159" w:after="159" w:line="360" w:lineRule="auto"/>
        <w:widowControl/>
        <w:rPr>
          <w:rFonts w:hint="default" w:ascii="宋体" w:hAnsi="宋体" w:cs="宋体"/>
          <w:b/>
          <w:sz w:val="28"/>
          <w:szCs w:val="28"/>
          <w:lang w:val="en-US" w:eastAsia="zh-CN"/>
        </w:rPr>
      </w:pPr>
      <w:r>
        <w:rPr>
          <w:rFonts w:hint="eastAsia" w:ascii="宋体" w:hAnsi="宋体" w:cs="宋体"/>
          <w:b/>
          <w:sz w:val="28"/>
          <w:szCs w:val="28"/>
          <w:lang w:val="en-US" w:eastAsia="zh-CN"/>
        </w:rPr>
        <w:t xml:space="preserve"> 送样承诺</w:t>
      </w:r>
      <w:r/>
    </w:p>
    <w:p>
      <w:pPr>
        <w:numPr>
          <w:ilvl w:val="0"/>
          <w:numId w:val="0"/>
        </w:numPr>
        <w:ind w:left="120" w:firstLine="480"/>
        <w:spacing w:line="360" w:lineRule="auto"/>
        <w:rPr>
          <w:rFonts w:hint="eastAsia" w:ascii="宋体" w:hAnsi="宋体" w:eastAsia="宋体" w:cs="Times New Roman"/>
          <w:color w:val="000000"/>
          <w:sz w:val="24"/>
          <w:szCs w:val="24"/>
          <w:highlight w:val="none"/>
        </w:rPr>
        <w:outlineLvl w:val="2"/>
      </w:pPr>
      <w:r>
        <w:rPr>
          <w:rFonts w:hint="eastAsia" w:ascii="宋体" w:hAnsi="宋体" w:eastAsia="宋体" w:cs="Times New Roman"/>
          <w:color w:val="000000"/>
          <w:sz w:val="24"/>
          <w:szCs w:val="24"/>
          <w:highlight w:val="none"/>
        </w:rPr>
      </w:r>
      <w:r/>
    </w:p>
    <w:p>
      <w:pPr>
        <w:numPr>
          <w:ilvl w:val="0"/>
          <w:numId w:val="0"/>
        </w:numPr>
        <w:ind w:left="119"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outlineLvl w:val="2"/>
      </w:pPr>
      <w:r>
        <w:rPr>
          <w:rFonts w:hint="eastAsia" w:ascii="宋体" w:hAnsi="宋体" w:eastAsia="宋体" w:cs="Times New Roman"/>
          <w:color w:val="000000"/>
          <w:sz w:val="21"/>
          <w:szCs w:val="21"/>
          <w:highlight w:val="none"/>
        </w:rPr>
        <w:t xml:space="preserve">我公司响应</w:t>
      </w:r>
      <w:r>
        <w:rPr>
          <w:rFonts w:hint="eastAsia" w:ascii="宋体" w:hAnsi="宋体" w:eastAsia="宋体" w:cs="Times New Roman"/>
          <w:color w:val="000000"/>
          <w:sz w:val="21"/>
          <w:szCs w:val="21"/>
          <w:highlight w:val="none"/>
          <w:lang w:val="en-US" w:eastAsia="zh-CN"/>
        </w:rPr>
        <w:t xml:space="preserve">招标文件要求</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lang w:val="en-US" w:eastAsia="zh-CN"/>
        </w:rPr>
        <w:t xml:space="preserve">向招标人提交</w:t>
      </w:r>
      <w:r>
        <w:rPr>
          <w:rFonts w:hint="eastAsia" w:ascii="Times New Roman" w:hAnsi="Times New Roman" w:eastAsia="宋体" w:cs="Times New Roman"/>
          <w:color w:val="000000"/>
          <w:sz w:val="21"/>
          <w:szCs w:val="21"/>
          <w:highlight w:val="none"/>
        </w:rPr>
        <w:t xml:space="preserve">螯合剂（哌嗪-DTC-钾盐）</w:t>
      </w:r>
      <w:r>
        <w:rPr>
          <w:rFonts w:hint="eastAsia" w:ascii="Times New Roman" w:hAnsi="Times New Roman" w:eastAsia="宋体" w:cs="Times New Roman"/>
          <w:color w:val="000000"/>
          <w:sz w:val="21"/>
          <w:szCs w:val="21"/>
          <w:highlight w:val="none"/>
          <w:lang w:val="en-US" w:eastAsia="zh-CN"/>
        </w:rPr>
        <w:t xml:space="preserve">小样及</w:t>
      </w:r>
      <w:r>
        <w:rPr>
          <w:rFonts w:hint="eastAsia" w:ascii="Times New Roman" w:hAnsi="Times New Roman" w:eastAsia="宋体" w:cs="Times New Roman"/>
          <w:color w:val="000000"/>
          <w:sz w:val="21"/>
          <w:szCs w:val="21"/>
          <w:highlight w:val="none"/>
        </w:rPr>
        <w:t xml:space="preserve">螯合剂（福美钠）</w:t>
      </w:r>
      <w:r>
        <w:rPr>
          <w:rFonts w:hint="eastAsia" w:ascii="Times New Roman" w:hAnsi="Times New Roman" w:eastAsia="宋体" w:cs="Times New Roman"/>
          <w:color w:val="000000"/>
          <w:sz w:val="21"/>
          <w:szCs w:val="21"/>
          <w:highlight w:val="none"/>
          <w:lang w:val="en-US" w:eastAsia="zh-CN"/>
        </w:rPr>
        <w:t xml:space="preserve">小样</w:t>
      </w:r>
      <w:r>
        <w:rPr>
          <w:rFonts w:hint="eastAsia" w:ascii="宋体" w:hAnsi="宋体" w:eastAsia="宋体" w:cs="Times New Roman"/>
          <w:color w:val="000000"/>
          <w:sz w:val="21"/>
          <w:szCs w:val="21"/>
          <w:highlight w:val="none"/>
        </w:rPr>
        <w:t xml:space="preserve">。</w:t>
      </w:r>
      <w:r/>
    </w:p>
    <w:p>
      <w:pPr>
        <w:numPr>
          <w:ilvl w:val="0"/>
          <w:numId w:val="0"/>
        </w:numPr>
        <w:ind w:left="119" w:firstLine="420"/>
        <w:keepLines w:val="0"/>
        <w:keepNext w:val="0"/>
        <w:pageBreakBefore w:val="0"/>
        <w:spacing w:line="400" w:lineRule="exact"/>
        <w:widowControl w:val="off"/>
        <w:rPr>
          <w:rFonts w:ascii="宋体" w:hAnsi="宋体" w:eastAsia="宋体" w:cs="Times New Roman"/>
          <w:color w:val="000000"/>
          <w:sz w:val="21"/>
          <w:szCs w:val="21"/>
          <w:highlight w:val="none"/>
        </w:rPr>
        <w:outlineLvl w:val="2"/>
      </w:pPr>
      <w:r>
        <w:rPr>
          <w:rFonts w:hint="eastAsia" w:ascii="宋体" w:hAnsi="宋体" w:eastAsia="宋体" w:cs="Times New Roman"/>
          <w:color w:val="000000"/>
          <w:sz w:val="21"/>
          <w:szCs w:val="21"/>
          <w:highlight w:val="none"/>
        </w:rPr>
        <w:t xml:space="preserve">我公司响应</w:t>
      </w:r>
      <w:r>
        <w:rPr>
          <w:rFonts w:hint="eastAsia" w:ascii="宋体" w:hAnsi="宋体" w:eastAsia="宋体" w:cs="Times New Roman"/>
          <w:color w:val="000000"/>
          <w:sz w:val="21"/>
          <w:szCs w:val="21"/>
          <w:highlight w:val="none"/>
          <w:lang w:val="en-US" w:eastAsia="zh-CN"/>
        </w:rPr>
        <w:t xml:space="preserve">招标文件要求，认可试验</w:t>
      </w:r>
      <w:r>
        <w:rPr>
          <w:rFonts w:hint="eastAsia" w:ascii="宋体" w:hAnsi="宋体" w:eastAsia="宋体" w:cs="Times New Roman"/>
          <w:color w:val="000000"/>
          <w:sz w:val="21"/>
          <w:szCs w:val="21"/>
          <w:highlight w:val="none"/>
        </w:rPr>
        <w:t xml:space="preserve">配方比例</w:t>
      </w:r>
      <w:r>
        <w:rPr>
          <w:rFonts w:hint="eastAsia" w:ascii="宋体" w:hAnsi="宋体" w:eastAsia="宋体" w:cs="Times New Roman"/>
          <w:color w:val="000000"/>
          <w:sz w:val="21"/>
          <w:szCs w:val="21"/>
          <w:highlight w:val="none"/>
          <w:lang w:val="en-US" w:eastAsia="zh-CN"/>
        </w:rPr>
        <w:t xml:space="preserve">按</w:t>
      </w:r>
      <w:r>
        <w:rPr>
          <w:rFonts w:hint="eastAsia" w:ascii="宋体" w:hAnsi="宋体" w:eastAsia="宋体" w:cs="Times New Roman"/>
          <w:color w:val="000000"/>
          <w:sz w:val="21"/>
          <w:szCs w:val="21"/>
          <w:highlight w:val="none"/>
        </w:rPr>
        <w:t xml:space="preserve">3.5%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试验样品用飞灰采用</w:t>
      </w:r>
      <w:r>
        <w:rPr>
          <w:rFonts w:hint="eastAsia" w:ascii="宋体" w:hAnsi="宋体" w:eastAsia="宋体" w:cs="宋体"/>
          <w:color w:val="000000"/>
          <w:sz w:val="21"/>
          <w:szCs w:val="21"/>
          <w:highlight w:val="none"/>
          <w:lang w:val="en-US" w:eastAsia="zh-CN"/>
        </w:rPr>
        <w:t xml:space="preserve">招标人现场飞灰</w:t>
      </w:r>
      <w:r>
        <w:rPr>
          <w:rFonts w:hint="eastAsia" w:ascii="宋体" w:hAnsi="宋体" w:eastAsia="宋体" w:cs="Times New Roman"/>
          <w:color w:val="000000"/>
          <w:sz w:val="21"/>
          <w:szCs w:val="21"/>
          <w:highlight w:val="none"/>
          <w:lang w:val="en-US" w:eastAsia="zh-CN"/>
        </w:rPr>
        <w:t xml:space="preserve">。</w:t>
      </w:r>
      <w:r/>
    </w:p>
    <w:p>
      <w:pPr>
        <w:ind w:firstLine="480"/>
        <w:jc w:val="left"/>
        <w:spacing w:line="360" w:lineRule="auto"/>
        <w:shd w:val="clear" w:color="auto" w:fill="ffffff"/>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360" w:lineRule="auto"/>
        <w:shd w:val="clear" w:color="auto" w:fill="ffffff"/>
        <w:rPr>
          <w:rFonts w:ascii="宋体" w:hAnsi="宋体"/>
          <w:color w:val="000000"/>
          <w:sz w:val="24"/>
          <w:szCs w:val="24"/>
          <w:highlight w:val="none"/>
        </w:rPr>
      </w:pPr>
      <w:r>
        <w:rPr>
          <w:rFonts w:ascii="宋体" w:hAnsi="宋体"/>
          <w:color w:val="000000"/>
          <w:sz w:val="24"/>
          <w:szCs w:val="24"/>
          <w:highlight w:val="none"/>
        </w:rPr>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p>
    <w:p>
      <w:pPr>
        <w:spacing w:before="25" w:after="25" w:line="360" w:lineRule="auto"/>
        <w:rPr>
          <w:rFonts w:ascii="宋体" w:hAnsi="宋体" w:cs="宋体"/>
          <w:color w:val="000000"/>
          <w:szCs w:val="21"/>
          <w:highlight w:val="none"/>
          <w:u w:val="single"/>
          <w:lang w:val="en-US" w:eastAsia="zh-CN"/>
        </w:rPr>
      </w:pPr>
      <w:r>
        <w:rPr>
          <w:rFonts w:hint="eastAsia" w:ascii="宋体" w:hAnsi="宋体" w:cs="宋体"/>
          <w:color w:val="000000"/>
          <w:szCs w:val="21"/>
          <w:highlight w:val="none"/>
          <w:lang w:val="en-US" w:eastAsia="zh-CN"/>
        </w:rPr>
        <w:t xml:space="preserve">法定代表人或代理人签字：</w:t>
      </w:r>
      <w:r>
        <w:rPr>
          <w:rFonts w:hint="eastAsia" w:ascii="宋体" w:hAnsi="宋体" w:cs="宋体"/>
          <w:color w:val="000000"/>
          <w:szCs w:val="21"/>
          <w:highlight w:val="none"/>
          <w:u w:val="single"/>
          <w:lang w:val="en-US" w:eastAsia="zh-CN"/>
        </w:rPr>
        <w:t xml:space="preserve">            </w:t>
      </w:r>
      <w:r/>
    </w:p>
    <w:p>
      <w:pPr>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p>
    <w:p>
      <w:pPr>
        <w:rPr>
          <w:rFonts w:hint="default" w:ascii="宋体" w:hAnsi="宋体" w:eastAsia="宋体" w:cs="宋体"/>
          <w:lang w:val="en-US" w:eastAsia="zh-CN"/>
        </w:rPr>
      </w:pPr>
      <w:r>
        <w:rPr>
          <w:rFonts w:hint="eastAsia"/>
          <w:color w:val="000000"/>
          <w:sz w:val="24"/>
          <w:szCs w:val="20"/>
          <w:highlight w:val="none"/>
          <w:lang w:val="en-US" w:eastAsia="zh-CN"/>
        </w:rPr>
        <w:br w:type="page" w:clear="all"/>
      </w:r>
      <w:r/>
    </w:p>
    <w:p>
      <w:pPr>
        <w:spacing w:line="360" w:lineRule="auto"/>
        <w:rPr>
          <w:rFonts w:ascii="宋体" w:hAnsi="宋体" w:cs="宋体"/>
          <w:color w:val="000000"/>
          <w:sz w:val="24"/>
          <w:szCs w:val="20"/>
        </w:rPr>
        <w:outlineLvl w:val="2"/>
      </w:pPr>
      <w:r>
        <w:rPr>
          <w:rFonts w:ascii="宋体" w:hAnsi="宋体" w:cs="宋体"/>
          <w:color w:val="000000"/>
          <w:sz w:val="24"/>
          <w:szCs w:val="20"/>
        </w:rPr>
      </w:r>
      <w:r/>
    </w:p>
    <w:p>
      <w:pPr>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 招标文件要求提供或投标人认为应附的其他材料</w:t>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jc w:val="left"/>
        <w:widowControl/>
        <w:rPr>
          <w:b/>
          <w:sz w:val="36"/>
          <w:szCs w:val="36"/>
        </w:rPr>
      </w:pPr>
      <w:r>
        <w:rPr>
          <w:b/>
          <w:sz w:val="36"/>
          <w:szCs w:val="36"/>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Wingdings">
    <w:panose1 w:val="05000000000000000000"/>
  </w:font>
  <w:font w:name="方正黑体_GBK">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jc w:val="center"/>
                          </w:pPr>
                          <w:r>
                            <w:fldChar w:fldCharType="begin"/>
                          </w:r>
                          <w:r>
                            <w:instrText xml:space="preserve"> PAGE  \* MERGEFORMAT </w:instrText>
                          </w:r>
                          <w:r>
                            <w:fldChar w:fldCharType="separate"/>
                          </w:r>
                          <w:r>
                            <w:t xml:space="preserve">25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jc w:val="center"/>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072"/>
      </w:rPr>
      <w:framePr w:wrap="around" w:vAnchor="text" w:hAnchor="margin" w:xAlign="right" w:y="1"/>
    </w:pPr>
    <w:r/>
    <w:r/>
  </w:p>
  <w:p>
    <w:pPr>
      <w:pStyle w:val="105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072"/>
      </w:rPr>
      <w:framePr w:wrap="around" w:vAnchor="text" w:hAnchor="margin" w:xAlign="right" w:y="1"/>
    </w:pPr>
    <w:r>
      <w:rPr>
        <w:rStyle w:val="1072"/>
      </w:rPr>
      <w:fldChar w:fldCharType="begin"/>
    </w:r>
    <w:r>
      <w:rPr>
        <w:rStyle w:val="1072"/>
      </w:rPr>
      <w:instrText xml:space="preserve">PAGE  </w:instrText>
    </w:r>
    <w:r>
      <w:rPr>
        <w:rStyle w:val="1072"/>
      </w:rPr>
      <w:fldChar w:fldCharType="end"/>
    </w:r>
    <w:r/>
  </w:p>
  <w:p>
    <w:pPr>
      <w:pStyle w:val="105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jc w:val="right"/>
                          </w:pPr>
                          <w:r>
                            <w:fldChar w:fldCharType="begin"/>
                          </w:r>
                          <w:r>
                            <w:instrText xml:space="preserve"> PAGE  \* MERGEFORMAT </w:instrText>
                          </w:r>
                          <w:r>
                            <w:fldChar w:fldCharType="separate"/>
                          </w:r>
                          <w:r>
                            <w:t xml:space="preserve">33</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jc w:val="right"/>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Style w:val="1072"/>
      </w:rPr>
      <w:framePr w:wrap="around" w:vAnchor="text" w:hAnchor="margin" w:xAlign="right" w:y="1"/>
    </w:pPr>
    <w:r>
      <w:rPr>
        <w:rStyle w:val="1072"/>
      </w:rPr>
      <w:fldChar w:fldCharType="begin"/>
    </w:r>
    <w:r>
      <w:rPr>
        <w:rStyle w:val="1072"/>
      </w:rPr>
      <w:instrText xml:space="preserve">PAGE  </w:instrText>
    </w:r>
    <w:r>
      <w:rPr>
        <w:rStyle w:val="1072"/>
      </w:rPr>
      <w:fldChar w:fldCharType="end"/>
    </w:r>
    <w:r/>
  </w:p>
  <w:p>
    <w:pPr>
      <w:pStyle w:val="1055"/>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pBdr>
        <w:bottom w:val="none" w:color="auto" w:sz="0" w:space="1"/>
      </w:pBdr>
    </w:pPr>
    <w:r>
      <w:rPr>
        <w:rFonts w:hint="eastAsia"/>
      </w:rPr>
      <w:t xml:space="preserve">常州正衡招投标有限公司公开招标文件</w:t>
    </w:r>
    <w:r/>
  </w:p>
  <w:p>
    <w:pPr>
      <w:pStyle w:val="105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4">
    <w:multiLevelType w:val="hybridMultilevel"/>
    <w:lvl w:ilvl="0">
      <w:start w:val="1"/>
      <w:numFmt w:val="decimal"/>
      <w:pStyle w:val="113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lowerLetter"/>
      <w:pStyle w:val="121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18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3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6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6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8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3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36"/>
      <w:isLgl w:val="false"/>
      <w:suff w:val="tab"/>
      <w:lvlText w:val="%1"/>
      <w:lvlJc w:val="left"/>
      <w:pPr>
        <w:ind w:left="680" w:hanging="680"/>
      </w:pPr>
      <w:rPr>
        <w:rFonts w:hint="eastAsia" w:ascii="宋体" w:hAnsi="宋体" w:eastAsia="宋体"/>
      </w:rPr>
    </w:lvl>
    <w:lvl w:ilvl="1">
      <w:start w:val="1"/>
      <w:numFmt w:val="decimal"/>
      <w:pStyle w:val="1237"/>
      <w:isLgl w:val="false"/>
      <w:suff w:val="tab"/>
      <w:lvlText w:val="%1.%2"/>
      <w:lvlJc w:val="left"/>
      <w:pPr>
        <w:ind w:left="851" w:hanging="851"/>
      </w:pPr>
      <w:rPr>
        <w:rFonts w:hint="eastAsia" w:ascii="宋体" w:hAnsi="宋体" w:eastAsia="宋体"/>
        <w:color w:val="auto"/>
      </w:rPr>
    </w:lvl>
    <w:lvl w:ilvl="2">
      <w:start w:val="1"/>
      <w:numFmt w:val="decimal"/>
      <w:pStyle w:val="123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4"/>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4"/>
  </w:num>
  <w:num w:numId="12">
    <w:abstractNumId w:val="2"/>
  </w:num>
  <w:num w:numId="13">
    <w:abstractNumId w:val="16"/>
  </w:num>
  <w:num w:numId="14">
    <w:abstractNumId w:val="1"/>
  </w:num>
  <w:num w:numId="15">
    <w:abstractNumId w:val="0"/>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4">
    <w:name w:val="Heading 1 Char"/>
    <w:basedOn w:val="1035"/>
    <w:link w:val="1026"/>
    <w:uiPriority w:val="9"/>
    <w:rPr>
      <w:rFonts w:ascii="Arial" w:hAnsi="Arial" w:eastAsia="Arial" w:cs="Arial"/>
      <w:sz w:val="40"/>
      <w:szCs w:val="40"/>
    </w:rPr>
  </w:style>
  <w:style w:type="character" w:styleId="875">
    <w:name w:val="Heading 2 Char"/>
    <w:basedOn w:val="1035"/>
    <w:link w:val="1027"/>
    <w:uiPriority w:val="9"/>
    <w:rPr>
      <w:rFonts w:ascii="Arial" w:hAnsi="Arial" w:eastAsia="Arial" w:cs="Arial"/>
      <w:sz w:val="34"/>
    </w:rPr>
  </w:style>
  <w:style w:type="character" w:styleId="876">
    <w:name w:val="Heading 3 Char"/>
    <w:basedOn w:val="1035"/>
    <w:link w:val="1028"/>
    <w:uiPriority w:val="9"/>
    <w:rPr>
      <w:rFonts w:ascii="Arial" w:hAnsi="Arial" w:eastAsia="Arial" w:cs="Arial"/>
      <w:sz w:val="30"/>
      <w:szCs w:val="30"/>
    </w:rPr>
  </w:style>
  <w:style w:type="character" w:styleId="877">
    <w:name w:val="Heading 4 Char"/>
    <w:basedOn w:val="1035"/>
    <w:link w:val="1029"/>
    <w:uiPriority w:val="9"/>
    <w:rPr>
      <w:rFonts w:ascii="Arial" w:hAnsi="Arial" w:eastAsia="Arial" w:cs="Arial"/>
      <w:b/>
      <w:bCs/>
      <w:sz w:val="26"/>
      <w:szCs w:val="26"/>
    </w:rPr>
  </w:style>
  <w:style w:type="character" w:styleId="878">
    <w:name w:val="Heading 5 Char"/>
    <w:basedOn w:val="1035"/>
    <w:link w:val="1030"/>
    <w:uiPriority w:val="9"/>
    <w:rPr>
      <w:rFonts w:ascii="Arial" w:hAnsi="Arial" w:eastAsia="Arial" w:cs="Arial"/>
      <w:b/>
      <w:bCs/>
      <w:sz w:val="24"/>
      <w:szCs w:val="24"/>
    </w:rPr>
  </w:style>
  <w:style w:type="character" w:styleId="879">
    <w:name w:val="Heading 6 Char"/>
    <w:basedOn w:val="1035"/>
    <w:link w:val="1031"/>
    <w:uiPriority w:val="9"/>
    <w:rPr>
      <w:rFonts w:ascii="Arial" w:hAnsi="Arial" w:eastAsia="Arial" w:cs="Arial"/>
      <w:b/>
      <w:bCs/>
      <w:sz w:val="22"/>
      <w:szCs w:val="22"/>
    </w:rPr>
  </w:style>
  <w:style w:type="character" w:styleId="880">
    <w:name w:val="Heading 7 Char"/>
    <w:basedOn w:val="1035"/>
    <w:link w:val="1032"/>
    <w:uiPriority w:val="9"/>
    <w:rPr>
      <w:rFonts w:ascii="Arial" w:hAnsi="Arial" w:eastAsia="Arial" w:cs="Arial"/>
      <w:b/>
      <w:bCs/>
      <w:i/>
      <w:iCs/>
      <w:sz w:val="22"/>
      <w:szCs w:val="22"/>
    </w:rPr>
  </w:style>
  <w:style w:type="character" w:styleId="881">
    <w:name w:val="Heading 8 Char"/>
    <w:basedOn w:val="1035"/>
    <w:link w:val="1033"/>
    <w:uiPriority w:val="9"/>
    <w:rPr>
      <w:rFonts w:ascii="Arial" w:hAnsi="Arial" w:eastAsia="Arial" w:cs="Arial"/>
      <w:i/>
      <w:iCs/>
      <w:sz w:val="22"/>
      <w:szCs w:val="22"/>
    </w:rPr>
  </w:style>
  <w:style w:type="character" w:styleId="882">
    <w:name w:val="Heading 9 Char"/>
    <w:basedOn w:val="1035"/>
    <w:link w:val="1034"/>
    <w:uiPriority w:val="9"/>
    <w:rPr>
      <w:rFonts w:ascii="Arial" w:hAnsi="Arial" w:eastAsia="Arial" w:cs="Arial"/>
      <w:i/>
      <w:iCs/>
      <w:sz w:val="21"/>
      <w:szCs w:val="21"/>
    </w:rPr>
  </w:style>
  <w:style w:type="character" w:styleId="883">
    <w:name w:val="Title Char"/>
    <w:basedOn w:val="1035"/>
    <w:link w:val="1044"/>
    <w:uiPriority w:val="10"/>
    <w:rPr>
      <w:sz w:val="48"/>
      <w:szCs w:val="48"/>
    </w:rPr>
  </w:style>
  <w:style w:type="paragraph" w:styleId="884">
    <w:name w:val="Subtitle"/>
    <w:basedOn w:val="1025"/>
    <w:next w:val="1025"/>
    <w:link w:val="885"/>
    <w:uiPriority w:val="11"/>
    <w:qFormat/>
    <w:pPr>
      <w:spacing w:before="200" w:after="200"/>
    </w:pPr>
    <w:rPr>
      <w:sz w:val="24"/>
      <w:szCs w:val="24"/>
    </w:rPr>
  </w:style>
  <w:style w:type="character" w:styleId="885">
    <w:name w:val="Subtitle Char"/>
    <w:basedOn w:val="1035"/>
    <w:link w:val="884"/>
    <w:uiPriority w:val="11"/>
    <w:rPr>
      <w:sz w:val="24"/>
      <w:szCs w:val="24"/>
    </w:rPr>
  </w:style>
  <w:style w:type="paragraph" w:styleId="886">
    <w:name w:val="Quote"/>
    <w:basedOn w:val="1025"/>
    <w:next w:val="1025"/>
    <w:link w:val="887"/>
    <w:uiPriority w:val="29"/>
    <w:qFormat/>
    <w:pPr>
      <w:ind w:left="720" w:right="720"/>
    </w:pPr>
    <w:rPr>
      <w:i/>
    </w:rPr>
  </w:style>
  <w:style w:type="character" w:styleId="887">
    <w:name w:val="Quote Char"/>
    <w:link w:val="886"/>
    <w:uiPriority w:val="29"/>
    <w:rPr>
      <w:i/>
    </w:rPr>
  </w:style>
  <w:style w:type="paragraph" w:styleId="888">
    <w:name w:val="Intense Quote"/>
    <w:basedOn w:val="1025"/>
    <w:next w:val="1025"/>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Intense Quote Char"/>
    <w:link w:val="888"/>
    <w:uiPriority w:val="30"/>
    <w:rPr>
      <w:i/>
    </w:rPr>
  </w:style>
  <w:style w:type="character" w:styleId="890">
    <w:name w:val="Header Char"/>
    <w:basedOn w:val="1035"/>
    <w:link w:val="1057"/>
    <w:uiPriority w:val="99"/>
  </w:style>
  <w:style w:type="character" w:styleId="891">
    <w:name w:val="Footer Char"/>
    <w:basedOn w:val="1035"/>
    <w:link w:val="1055"/>
    <w:uiPriority w:val="99"/>
  </w:style>
  <w:style w:type="character" w:styleId="892">
    <w:name w:val="Caption Char"/>
    <w:basedOn w:val="1039"/>
    <w:link w:val="1055"/>
    <w:uiPriority w:val="99"/>
  </w:style>
  <w:style w:type="table" w:styleId="893">
    <w:name w:val="Table Grid Light"/>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10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10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basedOn w:val="10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basedOn w:val="10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basedOn w:val="10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basedOn w:val="10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basedOn w:val="10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basedOn w:val="10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basedOn w:val="10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basedOn w:val="10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basedOn w:val="10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basedOn w:val="10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basedOn w:val="10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basedOn w:val="10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basedOn w:val="10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basedOn w:val="10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basedOn w:val="10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basedOn w:val="10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basedOn w:val="10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basedOn w:val="10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basedOn w:val="10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basedOn w:val="10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basedOn w:val="10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basedOn w:val="10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basedOn w:val="10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basedOn w:val="10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basedOn w:val="10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basedOn w:val="10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basedOn w:val="10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basedOn w:val="10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basedOn w:val="10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basedOn w:val="10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basedOn w:val="10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basedOn w:val="10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basedOn w:val="10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basedOn w:val="10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basedOn w:val="10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basedOn w:val="10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basedOn w:val="10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basedOn w:val="10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basedOn w:val="10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basedOn w:val="10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basedOn w:val="10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basedOn w:val="10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basedOn w:val="10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basedOn w:val="10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basedOn w:val="10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basedOn w:val="10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basedOn w:val="10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basedOn w:val="10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basedOn w:val="10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basedOn w:val="10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basedOn w:val="10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basedOn w:val="10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basedOn w:val="10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basedOn w:val="10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basedOn w:val="10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basedOn w:val="10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basedOn w:val="10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basedOn w:val="10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basedOn w:val="10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basedOn w:val="10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basedOn w:val="10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basedOn w:val="10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basedOn w:val="10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basedOn w:val="10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basedOn w:val="10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basedOn w:val="10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basedOn w:val="10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basedOn w:val="10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basedOn w:val="10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basedOn w:val="10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8">
    <w:name w:val="footnote text"/>
    <w:basedOn w:val="1025"/>
    <w:link w:val="1019"/>
    <w:uiPriority w:val="99"/>
    <w:semiHidden/>
    <w:unhideWhenUsed/>
    <w:pPr>
      <w:spacing w:after="40" w:line="240" w:lineRule="auto"/>
    </w:pPr>
    <w:rPr>
      <w:sz w:val="18"/>
    </w:rPr>
  </w:style>
  <w:style w:type="character" w:styleId="1019">
    <w:name w:val="Footnote Text Char"/>
    <w:link w:val="1018"/>
    <w:uiPriority w:val="99"/>
    <w:rPr>
      <w:sz w:val="18"/>
    </w:rPr>
  </w:style>
  <w:style w:type="paragraph" w:styleId="1020">
    <w:name w:val="endnote text"/>
    <w:basedOn w:val="1025"/>
    <w:link w:val="1021"/>
    <w:uiPriority w:val="99"/>
    <w:semiHidden/>
    <w:unhideWhenUsed/>
    <w:pPr>
      <w:spacing w:after="0" w:line="240" w:lineRule="auto"/>
    </w:pPr>
    <w:rPr>
      <w:sz w:val="20"/>
    </w:rPr>
  </w:style>
  <w:style w:type="character" w:styleId="1021">
    <w:name w:val="Endnote Text Char"/>
    <w:link w:val="1020"/>
    <w:uiPriority w:val="99"/>
    <w:rPr>
      <w:sz w:val="20"/>
    </w:rPr>
  </w:style>
  <w:style w:type="character" w:styleId="1022">
    <w:name w:val="endnote reference"/>
    <w:basedOn w:val="1035"/>
    <w:uiPriority w:val="99"/>
    <w:semiHidden/>
    <w:unhideWhenUsed/>
    <w:rPr>
      <w:vertAlign w:val="superscript"/>
    </w:rPr>
  </w:style>
  <w:style w:type="paragraph" w:styleId="1023">
    <w:name w:val="TOC Heading"/>
    <w:uiPriority w:val="39"/>
    <w:unhideWhenUsed/>
  </w:style>
  <w:style w:type="paragraph" w:styleId="1024">
    <w:name w:val="table of figures"/>
    <w:basedOn w:val="1025"/>
    <w:next w:val="1025"/>
    <w:uiPriority w:val="99"/>
    <w:unhideWhenUsed/>
    <w:pPr>
      <w:spacing w:after="0" w:afterAutospacing="0"/>
    </w:pPr>
  </w:style>
  <w:style w:type="paragraph" w:styleId="10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6">
    <w:name w:val="Heading 1"/>
    <w:basedOn w:val="1025"/>
    <w:next w:val="1025"/>
    <w:link w:val="1082"/>
    <w:uiPriority w:val="0"/>
    <w:qFormat/>
    <w:pPr>
      <w:jc w:val="center"/>
      <w:keepLines/>
      <w:keepNext/>
      <w:spacing w:before="240" w:after="120" w:line="300" w:lineRule="auto"/>
      <w:outlineLvl w:val="0"/>
    </w:pPr>
    <w:rPr>
      <w:rFonts w:ascii="宋体"/>
      <w:b/>
      <w:sz w:val="32"/>
      <w:szCs w:val="20"/>
    </w:rPr>
  </w:style>
  <w:style w:type="paragraph" w:styleId="1027">
    <w:name w:val="Heading 2"/>
    <w:basedOn w:val="1025"/>
    <w:next w:val="1025"/>
    <w:link w:val="1083"/>
    <w:uiPriority w:val="0"/>
    <w:qFormat/>
    <w:pPr>
      <w:jc w:val="center"/>
      <w:keepLines/>
      <w:keepNext/>
      <w:spacing w:before="120" w:line="300" w:lineRule="auto"/>
      <w:outlineLvl w:val="1"/>
    </w:pPr>
    <w:rPr>
      <w:rFonts w:ascii="Arial" w:hAnsi="Arial" w:eastAsia="黑体"/>
      <w:b/>
      <w:sz w:val="30"/>
      <w:szCs w:val="20"/>
    </w:rPr>
  </w:style>
  <w:style w:type="paragraph" w:styleId="1028">
    <w:name w:val="Heading 3"/>
    <w:basedOn w:val="1025"/>
    <w:next w:val="1025"/>
    <w:link w:val="1084"/>
    <w:uiPriority w:val="0"/>
    <w:qFormat/>
    <w:pPr>
      <w:jc w:val="left"/>
      <w:keepLines/>
      <w:keepNext/>
      <w:spacing w:before="360" w:after="120"/>
      <w:outlineLvl w:val="2"/>
    </w:pPr>
    <w:rPr>
      <w:rFonts w:ascii="宋体"/>
      <w:b/>
      <w:sz w:val="24"/>
      <w:szCs w:val="20"/>
      <w:u w:val="single"/>
    </w:rPr>
  </w:style>
  <w:style w:type="paragraph" w:styleId="1029">
    <w:name w:val="Heading 4"/>
    <w:basedOn w:val="1025"/>
    <w:next w:val="1025"/>
    <w:link w:val="1085"/>
    <w:uiPriority w:val="0"/>
    <w:qFormat/>
    <w:pPr>
      <w:keepLines/>
      <w:keepNext/>
      <w:spacing w:before="280" w:after="290" w:line="376" w:lineRule="atLeast"/>
      <w:outlineLvl w:val="3"/>
    </w:pPr>
    <w:rPr>
      <w:rFonts w:ascii="Arial" w:hAnsi="Arial" w:eastAsia="黑体"/>
      <w:b/>
      <w:sz w:val="28"/>
      <w:szCs w:val="20"/>
    </w:rPr>
  </w:style>
  <w:style w:type="paragraph" w:styleId="1030">
    <w:name w:val="Heading 5"/>
    <w:basedOn w:val="1025"/>
    <w:next w:val="1025"/>
    <w:link w:val="1086"/>
    <w:uiPriority w:val="0"/>
    <w:qFormat/>
    <w:pPr>
      <w:keepLines/>
      <w:keepNext/>
      <w:spacing w:before="280" w:after="290" w:line="376" w:lineRule="atLeast"/>
      <w:outlineLvl w:val="4"/>
    </w:pPr>
    <w:rPr>
      <w:b/>
      <w:sz w:val="28"/>
      <w:szCs w:val="20"/>
    </w:rPr>
  </w:style>
  <w:style w:type="paragraph" w:styleId="1031">
    <w:name w:val="Heading 6"/>
    <w:basedOn w:val="1025"/>
    <w:next w:val="1025"/>
    <w:link w:val="1087"/>
    <w:uiPriority w:val="0"/>
    <w:qFormat/>
    <w:pPr>
      <w:keepLines/>
      <w:keepNext/>
      <w:spacing w:before="240" w:after="64" w:line="320" w:lineRule="atLeast"/>
      <w:outlineLvl w:val="5"/>
    </w:pPr>
    <w:rPr>
      <w:rFonts w:ascii="Arial" w:hAnsi="Arial" w:eastAsia="黑体"/>
      <w:b/>
      <w:sz w:val="24"/>
      <w:szCs w:val="20"/>
    </w:rPr>
  </w:style>
  <w:style w:type="paragraph" w:styleId="1032">
    <w:name w:val="Heading 7"/>
    <w:basedOn w:val="1025"/>
    <w:next w:val="1025"/>
    <w:link w:val="1088"/>
    <w:uiPriority w:val="0"/>
    <w:qFormat/>
    <w:pPr>
      <w:keepLines/>
      <w:keepNext/>
      <w:spacing w:before="240" w:after="64" w:line="320" w:lineRule="atLeast"/>
      <w:outlineLvl w:val="6"/>
    </w:pPr>
    <w:rPr>
      <w:b/>
      <w:sz w:val="24"/>
      <w:szCs w:val="20"/>
    </w:rPr>
  </w:style>
  <w:style w:type="paragraph" w:styleId="1033">
    <w:name w:val="Heading 8"/>
    <w:basedOn w:val="1025"/>
    <w:next w:val="1025"/>
    <w:link w:val="1089"/>
    <w:uiPriority w:val="0"/>
    <w:qFormat/>
    <w:pPr>
      <w:keepLines/>
      <w:keepNext/>
      <w:spacing w:before="240" w:after="64" w:line="320" w:lineRule="atLeast"/>
      <w:outlineLvl w:val="7"/>
    </w:pPr>
    <w:rPr>
      <w:rFonts w:ascii="Arial" w:hAnsi="Arial" w:eastAsia="黑体"/>
      <w:sz w:val="24"/>
      <w:szCs w:val="20"/>
    </w:rPr>
  </w:style>
  <w:style w:type="paragraph" w:styleId="1034">
    <w:name w:val="Heading 9"/>
    <w:basedOn w:val="1025"/>
    <w:next w:val="1025"/>
    <w:link w:val="1090"/>
    <w:uiPriority w:val="0"/>
    <w:qFormat/>
    <w:pPr>
      <w:keepLines/>
      <w:keepNext/>
      <w:spacing w:before="240" w:after="64" w:line="320" w:lineRule="atLeast"/>
      <w:outlineLvl w:val="8"/>
    </w:pPr>
    <w:rPr>
      <w:rFonts w:ascii="Arial" w:hAnsi="Arial" w:eastAsia="黑体"/>
      <w:szCs w:val="20"/>
    </w:rPr>
  </w:style>
  <w:style w:type="character" w:styleId="1035" w:default="1">
    <w:name w:val="Default Paragraph Font"/>
    <w:uiPriority w:val="1"/>
    <w:semiHidden/>
    <w:unhideWhenUsed/>
    <w:qFormat/>
  </w:style>
  <w:style w:type="table" w:styleId="1036" w:default="1">
    <w:name w:val="Normal Table"/>
    <w:uiPriority w:val="99"/>
    <w:semiHidden/>
    <w:unhideWhenUsed/>
    <w:qFormat/>
    <w:tblPr>
      <w:tblCellMar>
        <w:left w:w="108" w:type="dxa"/>
        <w:top w:w="0" w:type="dxa"/>
        <w:right w:w="108" w:type="dxa"/>
        <w:bottom w:w="0" w:type="dxa"/>
      </w:tblCellMar>
    </w:tblPr>
  </w:style>
  <w:style w:type="paragraph" w:styleId="1037">
    <w:name w:val="toc 7"/>
    <w:basedOn w:val="1025"/>
    <w:next w:val="1025"/>
    <w:uiPriority w:val="0"/>
    <w:qFormat/>
    <w:pPr>
      <w:ind w:left="2520"/>
    </w:pPr>
  </w:style>
  <w:style w:type="paragraph" w:styleId="1038">
    <w:name w:val="Normal Indent"/>
    <w:basedOn w:val="1025"/>
    <w:next w:val="1025"/>
    <w:link w:val="1091"/>
    <w:uiPriority w:val="0"/>
    <w:qFormat/>
    <w:pPr>
      <w:ind w:firstLine="420"/>
      <w:jc w:val="left"/>
    </w:pPr>
    <w:rPr>
      <w:rFonts w:ascii="宋体"/>
      <w:sz w:val="24"/>
    </w:rPr>
  </w:style>
  <w:style w:type="paragraph" w:styleId="1039">
    <w:name w:val="Caption"/>
    <w:basedOn w:val="1025"/>
    <w:next w:val="1025"/>
    <w:uiPriority w:val="0"/>
    <w:qFormat/>
    <w:pPr>
      <w:spacing w:line="480" w:lineRule="auto"/>
    </w:pPr>
    <w:rPr>
      <w:rFonts w:ascii="华文中宋" w:hAnsi="华文中宋" w:eastAsia="华文中宋"/>
      <w:sz w:val="36"/>
      <w:szCs w:val="20"/>
    </w:rPr>
  </w:style>
  <w:style w:type="paragraph" w:styleId="1040">
    <w:name w:val="Document Map"/>
    <w:basedOn w:val="1025"/>
    <w:link w:val="1092"/>
    <w:uiPriority w:val="0"/>
    <w:qFormat/>
    <w:pPr>
      <w:shd w:val="clear" w:color="auto" w:fill="000080"/>
    </w:pPr>
  </w:style>
  <w:style w:type="paragraph" w:styleId="1041">
    <w:name w:val="annotation text"/>
    <w:basedOn w:val="1025"/>
    <w:link w:val="1093"/>
    <w:uiPriority w:val="99"/>
    <w:qFormat/>
    <w:pPr>
      <w:jc w:val="left"/>
    </w:pPr>
  </w:style>
  <w:style w:type="paragraph" w:styleId="1042">
    <w:name w:val="Body Text 3"/>
    <w:basedOn w:val="1025"/>
    <w:link w:val="1094"/>
    <w:uiPriority w:val="0"/>
    <w:qFormat/>
    <w:pPr>
      <w:spacing w:after="120"/>
    </w:pPr>
    <w:rPr>
      <w:sz w:val="16"/>
      <w:szCs w:val="16"/>
    </w:rPr>
  </w:style>
  <w:style w:type="paragraph" w:styleId="1043">
    <w:name w:val="Body Text"/>
    <w:basedOn w:val="1025"/>
    <w:next w:val="1044"/>
    <w:link w:val="1095"/>
    <w:uiPriority w:val="0"/>
    <w:qFormat/>
    <w:pPr>
      <w:spacing w:before="120" w:line="22" w:lineRule="atLeast"/>
      <w:tabs>
        <w:tab w:val="left" w:pos="567" w:leader="none"/>
      </w:tabs>
    </w:pPr>
    <w:rPr>
      <w:rFonts w:ascii="宋体" w:hAnsi="宋体"/>
      <w:sz w:val="24"/>
    </w:rPr>
  </w:style>
  <w:style w:type="paragraph" w:styleId="1044">
    <w:name w:val="Title"/>
    <w:basedOn w:val="1025"/>
    <w:next w:val="1025"/>
    <w:link w:val="1105"/>
    <w:uiPriority w:val="0"/>
    <w:qFormat/>
    <w:pPr>
      <w:jc w:val="center"/>
      <w:outlineLvl w:val="0"/>
    </w:pPr>
    <w:rPr>
      <w:b/>
      <w:sz w:val="32"/>
      <w:szCs w:val="20"/>
    </w:rPr>
  </w:style>
  <w:style w:type="paragraph" w:styleId="1045">
    <w:name w:val="Body Text Indent"/>
    <w:basedOn w:val="1025"/>
    <w:link w:val="1096"/>
    <w:uiPriority w:val="0"/>
    <w:qFormat/>
    <w:pPr>
      <w:ind w:firstLine="570"/>
      <w:spacing w:line="360" w:lineRule="auto"/>
    </w:pPr>
    <w:rPr>
      <w:sz w:val="24"/>
    </w:rPr>
  </w:style>
  <w:style w:type="paragraph" w:styleId="1046">
    <w:name w:val="List 2"/>
    <w:basedOn w:val="1025"/>
    <w:uiPriority w:val="0"/>
    <w:qFormat/>
    <w:pPr>
      <w:ind w:left="100" w:hanging="200"/>
    </w:pPr>
  </w:style>
  <w:style w:type="paragraph" w:styleId="1047">
    <w:name w:val="Block Text"/>
    <w:basedOn w:val="1025"/>
    <w:uiPriority w:val="0"/>
    <w:qFormat/>
    <w:pPr>
      <w:ind w:left="480" w:right="-341" w:firstLine="513"/>
      <w:widowControl/>
    </w:pPr>
    <w:rPr>
      <w:sz w:val="24"/>
      <w:szCs w:val="20"/>
    </w:rPr>
  </w:style>
  <w:style w:type="paragraph" w:styleId="1048">
    <w:name w:val="toc 5"/>
    <w:basedOn w:val="1025"/>
    <w:next w:val="1025"/>
    <w:uiPriority w:val="0"/>
    <w:qFormat/>
    <w:pPr>
      <w:ind w:left="1680"/>
    </w:pPr>
  </w:style>
  <w:style w:type="paragraph" w:styleId="1049">
    <w:name w:val="toc 3"/>
    <w:basedOn w:val="1025"/>
    <w:next w:val="1025"/>
    <w:uiPriority w:val="39"/>
    <w:qFormat/>
    <w:pPr>
      <w:ind w:left="840"/>
    </w:pPr>
  </w:style>
  <w:style w:type="paragraph" w:styleId="1050">
    <w:name w:val="Plain Text"/>
    <w:basedOn w:val="1025"/>
    <w:next w:val="1038"/>
    <w:link w:val="1097"/>
    <w:uiPriority w:val="0"/>
    <w:qFormat/>
    <w:rPr>
      <w:rFonts w:hint="eastAsia" w:ascii="宋体" w:hAnsi="Courier New"/>
      <w:szCs w:val="20"/>
    </w:rPr>
  </w:style>
  <w:style w:type="paragraph" w:styleId="1051">
    <w:name w:val="toc 8"/>
    <w:basedOn w:val="1025"/>
    <w:next w:val="1025"/>
    <w:uiPriority w:val="0"/>
    <w:qFormat/>
    <w:pPr>
      <w:ind w:left="2940"/>
    </w:pPr>
  </w:style>
  <w:style w:type="paragraph" w:styleId="1052">
    <w:name w:val="Date"/>
    <w:basedOn w:val="1025"/>
    <w:next w:val="1025"/>
    <w:link w:val="1098"/>
    <w:uiPriority w:val="0"/>
    <w:qFormat/>
    <w:pPr>
      <w:ind w:left="100"/>
    </w:pPr>
    <w:rPr>
      <w:rFonts w:ascii="仿宋_GB2312" w:hAnsi="宋体" w:eastAsia="仿宋_GB2312"/>
      <w:color w:val="000000"/>
      <w:sz w:val="24"/>
    </w:rPr>
  </w:style>
  <w:style w:type="paragraph" w:styleId="1053">
    <w:name w:val="Body Text Indent 2"/>
    <w:basedOn w:val="1025"/>
    <w:link w:val="1099"/>
    <w:uiPriority w:val="0"/>
    <w:qFormat/>
    <w:pPr>
      <w:ind w:firstLine="480"/>
    </w:pPr>
    <w:rPr>
      <w:rFonts w:ascii="仿宋_GB2312" w:eastAsia="仿宋_GB2312"/>
      <w:sz w:val="24"/>
    </w:rPr>
  </w:style>
  <w:style w:type="paragraph" w:styleId="1054">
    <w:name w:val="Balloon Text"/>
    <w:basedOn w:val="1025"/>
    <w:link w:val="1100"/>
    <w:uiPriority w:val="0"/>
    <w:qFormat/>
    <w:rPr>
      <w:sz w:val="18"/>
      <w:szCs w:val="18"/>
    </w:rPr>
  </w:style>
  <w:style w:type="paragraph" w:styleId="1055">
    <w:name w:val="Footer"/>
    <w:basedOn w:val="1025"/>
    <w:link w:val="1101"/>
    <w:uiPriority w:val="99"/>
    <w:qFormat/>
    <w:pPr>
      <w:jc w:val="left"/>
      <w:tabs>
        <w:tab w:val="center" w:pos="4153" w:leader="none"/>
        <w:tab w:val="right" w:pos="8306" w:leader="none"/>
      </w:tabs>
    </w:pPr>
    <w:rPr>
      <w:rFonts w:ascii="宋体"/>
      <w:sz w:val="18"/>
      <w:szCs w:val="20"/>
    </w:rPr>
  </w:style>
  <w:style w:type="paragraph" w:styleId="1056">
    <w:name w:val="envelope return"/>
    <w:basedOn w:val="1025"/>
    <w:uiPriority w:val="99"/>
    <w:qFormat/>
    <w:rPr>
      <w:rFonts w:ascii="Arial" w:hAnsi="Arial" w:cs="Arial"/>
    </w:rPr>
  </w:style>
  <w:style w:type="paragraph" w:styleId="1057">
    <w:name w:val="Header"/>
    <w:basedOn w:val="1025"/>
    <w:link w:val="1102"/>
    <w:uiPriority w:val="0"/>
    <w:qFormat/>
    <w:pPr>
      <w:jc w:val="center"/>
      <w:tabs>
        <w:tab w:val="center" w:pos="4153" w:leader="none"/>
        <w:tab w:val="right" w:pos="8306" w:leader="none"/>
      </w:tabs>
      <w:pBdr>
        <w:bottom w:val="single" w:color="auto" w:sz="6" w:space="1"/>
      </w:pBdr>
    </w:pPr>
    <w:rPr>
      <w:sz w:val="18"/>
      <w:szCs w:val="18"/>
    </w:rPr>
  </w:style>
  <w:style w:type="paragraph" w:styleId="1058">
    <w:name w:val="toc 1"/>
    <w:basedOn w:val="1025"/>
    <w:next w:val="1025"/>
    <w:uiPriority w:val="39"/>
    <w:qFormat/>
    <w:pPr>
      <w:spacing w:line="300" w:lineRule="auto"/>
      <w:tabs>
        <w:tab w:val="left" w:pos="1050" w:leader="none"/>
        <w:tab w:val="right" w:pos="8937" w:leader="dot"/>
      </w:tabs>
    </w:pPr>
    <w:rPr>
      <w:rFonts w:ascii="宋体" w:hAnsi="宋体"/>
      <w:b/>
      <w:sz w:val="24"/>
    </w:rPr>
  </w:style>
  <w:style w:type="paragraph" w:styleId="1059">
    <w:name w:val="toc 4"/>
    <w:basedOn w:val="1025"/>
    <w:next w:val="1025"/>
    <w:uiPriority w:val="0"/>
    <w:qFormat/>
    <w:pPr>
      <w:ind w:left="1260"/>
    </w:pPr>
  </w:style>
  <w:style w:type="paragraph" w:styleId="1060">
    <w:name w:val="toc 6"/>
    <w:basedOn w:val="1025"/>
    <w:next w:val="1025"/>
    <w:uiPriority w:val="0"/>
    <w:qFormat/>
    <w:pPr>
      <w:ind w:left="2100"/>
    </w:pPr>
  </w:style>
  <w:style w:type="paragraph" w:styleId="1061">
    <w:name w:val="Body Text Indent 3"/>
    <w:basedOn w:val="1025"/>
    <w:link w:val="1103"/>
    <w:uiPriority w:val="0"/>
    <w:qFormat/>
    <w:pPr>
      <w:ind w:left="720" w:firstLine="480"/>
      <w:jc w:val="left"/>
      <w:spacing w:before="120" w:line="22" w:lineRule="atLeast"/>
    </w:pPr>
    <w:rPr>
      <w:rFonts w:ascii="宋体"/>
      <w:sz w:val="24"/>
      <w:szCs w:val="20"/>
    </w:rPr>
  </w:style>
  <w:style w:type="paragraph" w:styleId="1062">
    <w:name w:val="toc 2"/>
    <w:basedOn w:val="1025"/>
    <w:next w:val="1025"/>
    <w:uiPriority w:val="39"/>
    <w:qFormat/>
    <w:pPr>
      <w:ind w:left="420"/>
      <w:spacing w:line="312" w:lineRule="auto"/>
      <w:tabs>
        <w:tab w:val="right" w:pos="8937" w:leader="dot"/>
      </w:tabs>
    </w:pPr>
  </w:style>
  <w:style w:type="paragraph" w:styleId="1063">
    <w:name w:val="toc 9"/>
    <w:basedOn w:val="1025"/>
    <w:next w:val="1025"/>
    <w:uiPriority w:val="0"/>
    <w:qFormat/>
    <w:pPr>
      <w:ind w:left="3360"/>
    </w:pPr>
  </w:style>
  <w:style w:type="paragraph" w:styleId="1064">
    <w:name w:val="HTML Preformatted"/>
    <w:basedOn w:val="1025"/>
    <w:link w:val="110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65">
    <w:name w:val="Normal (Web)"/>
    <w:basedOn w:val="1025"/>
    <w:uiPriority w:val="99"/>
    <w:unhideWhenUsed/>
    <w:qFormat/>
    <w:pPr>
      <w:jc w:val="left"/>
      <w:spacing w:before="100" w:beforeAutospacing="1" w:after="100" w:afterAutospacing="1"/>
      <w:widowControl/>
    </w:pPr>
    <w:rPr>
      <w:rFonts w:ascii="宋体" w:hAnsi="宋体" w:cs="宋体"/>
      <w:sz w:val="24"/>
    </w:rPr>
  </w:style>
  <w:style w:type="paragraph" w:styleId="1066">
    <w:name w:val="index 1"/>
    <w:basedOn w:val="1025"/>
    <w:next w:val="1025"/>
    <w:uiPriority w:val="0"/>
    <w:qFormat/>
    <w:rPr>
      <w:szCs w:val="20"/>
    </w:rPr>
  </w:style>
  <w:style w:type="paragraph" w:styleId="1067">
    <w:name w:val="annotation subject"/>
    <w:basedOn w:val="1041"/>
    <w:next w:val="1041"/>
    <w:link w:val="1106"/>
    <w:uiPriority w:val="0"/>
    <w:qFormat/>
    <w:rPr>
      <w:b/>
      <w:bCs/>
    </w:rPr>
  </w:style>
  <w:style w:type="paragraph" w:styleId="1068">
    <w:name w:val="Body Text First Indent 2"/>
    <w:basedOn w:val="1045"/>
    <w:link w:val="1107"/>
    <w:uiPriority w:val="0"/>
    <w:qFormat/>
    <w:pPr>
      <w:ind w:left="420" w:firstLine="420"/>
      <w:spacing w:after="120" w:line="480" w:lineRule="exact"/>
    </w:pPr>
    <w:rPr>
      <w:szCs w:val="20"/>
    </w:rPr>
  </w:style>
  <w:style w:type="table" w:styleId="1069">
    <w:name w:val="Table Grid"/>
    <w:basedOn w:val="103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0">
    <w:name w:val="Medium Grid 1 Accent 2"/>
    <w:basedOn w:val="1036"/>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71">
    <w:name w:val="Strong"/>
    <w:uiPriority w:val="0"/>
    <w:qFormat/>
    <w:rPr>
      <w:b/>
      <w:bCs/>
    </w:rPr>
  </w:style>
  <w:style w:type="character" w:styleId="1072">
    <w:name w:val="page number"/>
    <w:uiPriority w:val="0"/>
    <w:qFormat/>
  </w:style>
  <w:style w:type="character" w:styleId="1073">
    <w:name w:val="FollowedHyperlink"/>
    <w:uiPriority w:val="0"/>
    <w:qFormat/>
    <w:rPr>
      <w:color w:val="800080"/>
      <w:u w:val="single"/>
    </w:rPr>
  </w:style>
  <w:style w:type="character" w:styleId="1074">
    <w:name w:val="Emphasis"/>
    <w:uiPriority w:val="0"/>
    <w:qFormat/>
    <w:rPr>
      <w:color w:val="cc0033"/>
    </w:rPr>
  </w:style>
  <w:style w:type="character" w:styleId="1075">
    <w:name w:val="Hyperlink"/>
    <w:uiPriority w:val="99"/>
    <w:qFormat/>
    <w:rPr>
      <w:color w:val="0000ff"/>
      <w:u w:val="single"/>
    </w:rPr>
  </w:style>
  <w:style w:type="character" w:styleId="1076">
    <w:name w:val="annotation reference"/>
    <w:uiPriority w:val="99"/>
    <w:qFormat/>
    <w:rPr>
      <w:sz w:val="21"/>
      <w:szCs w:val="21"/>
    </w:rPr>
  </w:style>
  <w:style w:type="character" w:styleId="1077">
    <w:name w:val="HTML Cite"/>
    <w:uiPriority w:val="0"/>
    <w:qFormat/>
    <w:rPr>
      <w:i/>
      <w:iCs/>
    </w:rPr>
  </w:style>
  <w:style w:type="character" w:styleId="1078">
    <w:name w:val="footnote reference"/>
    <w:uiPriority w:val="0"/>
    <w:unhideWhenUsed/>
    <w:qFormat/>
    <w:rPr>
      <w:vertAlign w:val="superscript"/>
    </w:rPr>
  </w:style>
  <w:style w:type="paragraph" w:styleId="1079" w:customStyle="1">
    <w:name w:val="_Style 3"/>
    <w:next w:val="1061"/>
    <w:uiPriority w:val="99"/>
    <w:qFormat/>
    <w:pPr>
      <w:jc w:val="both"/>
      <w:widowControl w:val="off"/>
    </w:pPr>
    <w:rPr>
      <w:rFonts w:ascii="Times New Roman" w:hAnsi="Times New Roman" w:eastAsia="宋体" w:cs="Times New Roman"/>
      <w:sz w:val="21"/>
      <w:szCs w:val="22"/>
      <w:lang w:val="en-US" w:eastAsia="zh-CN" w:bidi="ar-SA"/>
    </w:rPr>
  </w:style>
  <w:style w:type="paragraph" w:styleId="1080" w:customStyle="1">
    <w:name w:val="列出段落1"/>
    <w:basedOn w:val="1025"/>
    <w:uiPriority w:val="0"/>
    <w:qFormat/>
    <w:pPr>
      <w:ind w:firstLine="420"/>
    </w:pPr>
    <w:rPr>
      <w:rFonts w:ascii="Calibri" w:hAnsi="Calibri"/>
      <w:szCs w:val="22"/>
    </w:rPr>
  </w:style>
  <w:style w:type="paragraph" w:styleId="1081"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1082" w:customStyle="1">
    <w:name w:val="标题 1 Char"/>
    <w:link w:val="1026"/>
    <w:uiPriority w:val="0"/>
    <w:qFormat/>
    <w:rPr>
      <w:rFonts w:ascii="宋体"/>
      <w:b/>
      <w:sz w:val="32"/>
    </w:rPr>
  </w:style>
  <w:style w:type="character" w:styleId="1083" w:customStyle="1">
    <w:name w:val="标题 2 Char1"/>
    <w:link w:val="1027"/>
    <w:uiPriority w:val="0"/>
    <w:qFormat/>
    <w:rPr>
      <w:rFonts w:ascii="Arial" w:hAnsi="Arial" w:eastAsia="黑体"/>
      <w:b/>
      <w:sz w:val="30"/>
      <w:lang w:val="en-US" w:eastAsia="zh-CN" w:bidi="ar-SA"/>
    </w:rPr>
  </w:style>
  <w:style w:type="character" w:styleId="1084" w:customStyle="1">
    <w:name w:val="标题 3 Char1"/>
    <w:link w:val="1028"/>
    <w:uiPriority w:val="0"/>
    <w:qFormat/>
    <w:rPr>
      <w:rFonts w:ascii="宋体" w:eastAsia="宋体"/>
      <w:b/>
      <w:sz w:val="24"/>
      <w:u w:val="single"/>
      <w:lang w:val="en-US" w:eastAsia="zh-CN" w:bidi="ar-SA"/>
    </w:rPr>
  </w:style>
  <w:style w:type="character" w:styleId="1085" w:customStyle="1">
    <w:name w:val="标题 4 Char"/>
    <w:link w:val="1029"/>
    <w:uiPriority w:val="0"/>
    <w:qFormat/>
    <w:rPr>
      <w:rFonts w:ascii="Arial" w:hAnsi="Arial" w:eastAsia="黑体"/>
      <w:b/>
      <w:sz w:val="28"/>
    </w:rPr>
  </w:style>
  <w:style w:type="character" w:styleId="1086" w:customStyle="1">
    <w:name w:val="标题 5 Char"/>
    <w:link w:val="1030"/>
    <w:uiPriority w:val="0"/>
    <w:qFormat/>
    <w:rPr>
      <w:b/>
      <w:sz w:val="28"/>
    </w:rPr>
  </w:style>
  <w:style w:type="character" w:styleId="1087" w:customStyle="1">
    <w:name w:val="标题 6 Char"/>
    <w:link w:val="1031"/>
    <w:uiPriority w:val="0"/>
    <w:qFormat/>
    <w:rPr>
      <w:rFonts w:ascii="Arial" w:hAnsi="Arial" w:eastAsia="黑体"/>
      <w:b/>
      <w:sz w:val="24"/>
    </w:rPr>
  </w:style>
  <w:style w:type="character" w:styleId="1088" w:customStyle="1">
    <w:name w:val="标题 7 Char"/>
    <w:link w:val="1032"/>
    <w:uiPriority w:val="0"/>
    <w:qFormat/>
    <w:rPr>
      <w:b/>
      <w:sz w:val="24"/>
    </w:rPr>
  </w:style>
  <w:style w:type="character" w:styleId="1089" w:customStyle="1">
    <w:name w:val="标题 8 Char"/>
    <w:link w:val="1033"/>
    <w:uiPriority w:val="0"/>
    <w:qFormat/>
    <w:rPr>
      <w:rFonts w:ascii="Arial" w:hAnsi="Arial" w:eastAsia="黑体"/>
      <w:sz w:val="24"/>
    </w:rPr>
  </w:style>
  <w:style w:type="character" w:styleId="1090" w:customStyle="1">
    <w:name w:val="标题 9 Char"/>
    <w:link w:val="1034"/>
    <w:uiPriority w:val="0"/>
    <w:qFormat/>
    <w:rPr>
      <w:rFonts w:ascii="Arial" w:hAnsi="Arial" w:eastAsia="黑体"/>
      <w:sz w:val="21"/>
    </w:rPr>
  </w:style>
  <w:style w:type="character" w:styleId="1091" w:customStyle="1">
    <w:name w:val="正文缩进 Char1"/>
    <w:link w:val="1038"/>
    <w:uiPriority w:val="0"/>
    <w:qFormat/>
    <w:rPr>
      <w:rFonts w:ascii="宋体" w:eastAsia="宋体"/>
      <w:sz w:val="24"/>
      <w:szCs w:val="24"/>
      <w:lang w:val="en-US" w:eastAsia="zh-CN" w:bidi="ar-SA"/>
    </w:rPr>
  </w:style>
  <w:style w:type="character" w:styleId="1092" w:customStyle="1">
    <w:name w:val="文档结构图 Char"/>
    <w:link w:val="1040"/>
    <w:uiPriority w:val="0"/>
    <w:qFormat/>
    <w:rPr>
      <w:sz w:val="21"/>
      <w:szCs w:val="24"/>
      <w:shd w:val="clear" w:color="auto" w:fill="000080"/>
    </w:rPr>
  </w:style>
  <w:style w:type="character" w:styleId="1093" w:customStyle="1">
    <w:name w:val="批注文字 Char1"/>
    <w:link w:val="1041"/>
    <w:uiPriority w:val="99"/>
    <w:qFormat/>
    <w:rPr>
      <w:sz w:val="21"/>
      <w:szCs w:val="24"/>
    </w:rPr>
  </w:style>
  <w:style w:type="character" w:styleId="1094" w:customStyle="1">
    <w:name w:val="正文文本 3 Char"/>
    <w:link w:val="1042"/>
    <w:uiPriority w:val="0"/>
    <w:qFormat/>
    <w:rPr>
      <w:sz w:val="16"/>
      <w:szCs w:val="16"/>
    </w:rPr>
  </w:style>
  <w:style w:type="character" w:styleId="1095" w:customStyle="1">
    <w:name w:val="正文文本 Char"/>
    <w:link w:val="1043"/>
    <w:uiPriority w:val="0"/>
    <w:qFormat/>
    <w:rPr>
      <w:rFonts w:ascii="宋体" w:hAnsi="宋体"/>
      <w:sz w:val="24"/>
      <w:szCs w:val="24"/>
    </w:rPr>
  </w:style>
  <w:style w:type="character" w:styleId="1096" w:customStyle="1">
    <w:name w:val="正文文本缩进 Char2"/>
    <w:link w:val="1045"/>
    <w:uiPriority w:val="0"/>
    <w:qFormat/>
    <w:rPr>
      <w:rFonts w:eastAsia="宋体"/>
      <w:sz w:val="24"/>
      <w:szCs w:val="24"/>
      <w:lang w:val="en-US" w:eastAsia="zh-CN" w:bidi="ar-SA"/>
    </w:rPr>
  </w:style>
  <w:style w:type="character" w:styleId="1097" w:customStyle="1">
    <w:name w:val="纯文本 Char"/>
    <w:link w:val="1050"/>
    <w:uiPriority w:val="0"/>
    <w:qFormat/>
    <w:rPr>
      <w:rFonts w:hint="eastAsia" w:ascii="宋体" w:hAnsi="Courier New" w:eastAsia="宋体" w:cs="宋体"/>
      <w:sz w:val="21"/>
    </w:rPr>
  </w:style>
  <w:style w:type="character" w:styleId="1098" w:customStyle="1">
    <w:name w:val="日期 Char"/>
    <w:link w:val="1052"/>
    <w:uiPriority w:val="0"/>
    <w:qFormat/>
    <w:rPr>
      <w:rFonts w:ascii="仿宋_GB2312" w:hAnsi="宋体" w:eastAsia="仿宋_GB2312"/>
      <w:color w:val="000000"/>
      <w:sz w:val="24"/>
      <w:szCs w:val="24"/>
    </w:rPr>
  </w:style>
  <w:style w:type="character" w:styleId="1099" w:customStyle="1">
    <w:name w:val="正文文本缩进 2 Char"/>
    <w:link w:val="1053"/>
    <w:uiPriority w:val="0"/>
    <w:qFormat/>
    <w:rPr>
      <w:rFonts w:ascii="仿宋_GB2312" w:eastAsia="仿宋_GB2312"/>
      <w:sz w:val="24"/>
      <w:szCs w:val="24"/>
    </w:rPr>
  </w:style>
  <w:style w:type="character" w:styleId="1100" w:customStyle="1">
    <w:name w:val="批注框文本 Char"/>
    <w:link w:val="1054"/>
    <w:uiPriority w:val="0"/>
    <w:qFormat/>
    <w:rPr>
      <w:sz w:val="18"/>
      <w:szCs w:val="18"/>
    </w:rPr>
  </w:style>
  <w:style w:type="character" w:styleId="1101" w:customStyle="1">
    <w:name w:val="页脚 Char1"/>
    <w:link w:val="1055"/>
    <w:uiPriority w:val="99"/>
    <w:qFormat/>
    <w:rPr>
      <w:rFonts w:ascii="宋体" w:eastAsia="宋体"/>
      <w:sz w:val="18"/>
      <w:lang w:val="en-US" w:eastAsia="zh-CN" w:bidi="ar-SA"/>
    </w:rPr>
  </w:style>
  <w:style w:type="character" w:styleId="1102" w:customStyle="1">
    <w:name w:val="页眉 Char1"/>
    <w:link w:val="1057"/>
    <w:uiPriority w:val="0"/>
    <w:qFormat/>
    <w:rPr>
      <w:rFonts w:eastAsia="宋体"/>
      <w:sz w:val="18"/>
      <w:szCs w:val="18"/>
      <w:lang w:val="en-US" w:eastAsia="zh-CN" w:bidi="ar-SA"/>
    </w:rPr>
  </w:style>
  <w:style w:type="character" w:styleId="1103" w:customStyle="1">
    <w:name w:val="正文文本缩进 3 Char"/>
    <w:link w:val="1061"/>
    <w:uiPriority w:val="0"/>
    <w:qFormat/>
    <w:rPr>
      <w:rFonts w:ascii="宋体"/>
      <w:sz w:val="24"/>
    </w:rPr>
  </w:style>
  <w:style w:type="character" w:styleId="1104" w:customStyle="1">
    <w:name w:val="HTML 预设格式 Char"/>
    <w:link w:val="1064"/>
    <w:uiPriority w:val="99"/>
    <w:qFormat/>
    <w:rPr>
      <w:rFonts w:ascii="宋体" w:hAnsi="宋体" w:cs="宋体"/>
      <w:sz w:val="24"/>
      <w:szCs w:val="24"/>
    </w:rPr>
  </w:style>
  <w:style w:type="character" w:styleId="1105" w:customStyle="1">
    <w:name w:val="标题 Char1"/>
    <w:link w:val="1044"/>
    <w:uiPriority w:val="0"/>
    <w:qFormat/>
    <w:rPr>
      <w:b/>
      <w:sz w:val="32"/>
    </w:rPr>
  </w:style>
  <w:style w:type="character" w:styleId="1106" w:customStyle="1">
    <w:name w:val="批注主题 Char"/>
    <w:link w:val="1067"/>
    <w:uiPriority w:val="0"/>
    <w:qFormat/>
    <w:rPr>
      <w:rFonts w:ascii="Times New Roman" w:hAnsi="Times New Roman" w:eastAsia="宋体" w:cs="Times New Roman"/>
      <w:b/>
      <w:bCs/>
      <w:sz w:val="21"/>
      <w:szCs w:val="24"/>
      <w:lang w:val="en-US" w:eastAsia="zh-CN" w:bidi="ar-SA"/>
    </w:rPr>
  </w:style>
  <w:style w:type="character" w:styleId="1107" w:customStyle="1">
    <w:name w:val="正文首行缩进 2 Char"/>
    <w:link w:val="1068"/>
    <w:uiPriority w:val="0"/>
    <w:qFormat/>
    <w:rPr>
      <w:rFonts w:eastAsia="宋体"/>
      <w:sz w:val="24"/>
      <w:szCs w:val="24"/>
      <w:lang w:val="en-US" w:eastAsia="zh-CN" w:bidi="ar-SA"/>
    </w:rPr>
  </w:style>
  <w:style w:type="character" w:styleId="1108" w:customStyle="1">
    <w:name w:val="批注文字 字符"/>
    <w:uiPriority w:val="99"/>
    <w:qFormat/>
    <w:rPr>
      <w:rFonts w:ascii="Times New Roman" w:hAnsi="Times New Roman" w:eastAsia="宋体" w:cs="Times New Roman"/>
      <w:sz w:val="24"/>
      <w:lang w:val="en-US" w:eastAsia="zh-CN" w:bidi="ar-SA"/>
    </w:rPr>
  </w:style>
  <w:style w:type="character" w:styleId="1109" w:customStyle="1">
    <w:name w:val="c21"/>
    <w:uiPriority w:val="0"/>
    <w:qFormat/>
    <w:rPr>
      <w:rFonts w:hint="default" w:ascii="ˎ̥" w:hAnsi="ˎ̥"/>
      <w:color w:val="000000"/>
      <w:sz w:val="20"/>
      <w:szCs w:val="20"/>
      <w:u w:val="none"/>
    </w:rPr>
  </w:style>
  <w:style w:type="character" w:styleId="1110" w:customStyle="1">
    <w:name w:val="title4"/>
    <w:uiPriority w:val="0"/>
    <w:qFormat/>
    <w:rPr>
      <w:b/>
      <w:bCs/>
      <w:color w:val="1d87b3"/>
      <w:sz w:val="15"/>
      <w:szCs w:val="15"/>
    </w:rPr>
  </w:style>
  <w:style w:type="character" w:styleId="1111" w:customStyle="1">
    <w:name w:val="标题 2 Char Char"/>
    <w:uiPriority w:val="0"/>
    <w:qFormat/>
    <w:rPr>
      <w:rFonts w:ascii="Arial" w:hAnsi="Arial" w:eastAsia="黑体"/>
      <w:b/>
      <w:bCs/>
      <w:sz w:val="32"/>
      <w:szCs w:val="32"/>
      <w:lang w:val="en-US" w:eastAsia="zh-CN" w:bidi="ar-SA"/>
    </w:rPr>
  </w:style>
  <w:style w:type="character" w:styleId="1112" w:customStyle="1">
    <w:name w:val="black1"/>
    <w:uiPriority w:val="0"/>
    <w:qFormat/>
    <w:rPr>
      <w:color w:val="000000"/>
    </w:rPr>
  </w:style>
  <w:style w:type="character" w:styleId="1113" w:customStyle="1">
    <w:name w:val="street-address"/>
    <w:uiPriority w:val="0"/>
    <w:qFormat/>
  </w:style>
  <w:style w:type="character" w:styleId="1114" w:customStyle="1">
    <w:name w:val="locality"/>
    <w:uiPriority w:val="0"/>
    <w:qFormat/>
  </w:style>
  <w:style w:type="character" w:styleId="1115" w:customStyle="1">
    <w:name w:val="正文文本缩进 Char1"/>
    <w:link w:val="1116"/>
    <w:uiPriority w:val="0"/>
    <w:qFormat/>
    <w:rPr>
      <w:rFonts w:ascii="宋体" w:hAnsi="宋体" w:eastAsia="宋体"/>
      <w:sz w:val="24"/>
      <w:szCs w:val="24"/>
      <w:lang w:bidi="ar-SA"/>
    </w:rPr>
  </w:style>
  <w:style w:type="paragraph" w:styleId="1116" w:customStyle="1">
    <w:name w:val="正文文本缩进1"/>
    <w:basedOn w:val="1025"/>
    <w:link w:val="1115"/>
    <w:uiPriority w:val="0"/>
    <w:qFormat/>
    <w:pPr>
      <w:ind w:firstLine="480"/>
      <w:spacing w:line="480" w:lineRule="exact"/>
    </w:pPr>
    <w:rPr>
      <w:rFonts w:ascii="宋体" w:hAnsi="宋体"/>
      <w:sz w:val="24"/>
    </w:rPr>
  </w:style>
  <w:style w:type="character" w:styleId="1117" w:customStyle="1">
    <w:name w:val="Char Char11"/>
    <w:uiPriority w:val="0"/>
    <w:qFormat/>
    <w:rPr>
      <w:rFonts w:ascii="宋体" w:eastAsia="宋体"/>
      <w:b/>
      <w:sz w:val="24"/>
      <w:u w:val="single"/>
      <w:lang w:val="en-US" w:eastAsia="zh-CN" w:bidi="ar-SA"/>
    </w:rPr>
  </w:style>
  <w:style w:type="character" w:styleId="1118" w:customStyle="1">
    <w:name w:val="txt"/>
    <w:uiPriority w:val="0"/>
    <w:qFormat/>
  </w:style>
  <w:style w:type="character" w:styleId="1119" w:customStyle="1">
    <w:name w:val="正文缩进 Char Char"/>
    <w:link w:val="1120"/>
    <w:uiPriority w:val="0"/>
    <w:qFormat/>
    <w:rPr>
      <w:rFonts w:ascii="宋体" w:eastAsia="宋体"/>
      <w:color w:val="000000"/>
      <w:sz w:val="28"/>
      <w:lang w:bidi="ar-SA"/>
    </w:rPr>
  </w:style>
  <w:style w:type="paragraph" w:styleId="1120" w:customStyle="1">
    <w:name w:val="正文缩进1"/>
    <w:basedOn w:val="1025"/>
    <w:link w:val="1119"/>
    <w:uiPriority w:val="0"/>
    <w:qFormat/>
    <w:pPr>
      <w:ind w:firstLine="567"/>
      <w:spacing w:line="480" w:lineRule="exact"/>
      <w:widowControl/>
    </w:pPr>
    <w:rPr>
      <w:rFonts w:ascii="宋体"/>
      <w:color w:val="000000"/>
      <w:sz w:val="28"/>
      <w:szCs w:val="20"/>
    </w:rPr>
  </w:style>
  <w:style w:type="character" w:styleId="1121" w:customStyle="1">
    <w:name w:val="普通文字1 Char1"/>
    <w:uiPriority w:val="0"/>
    <w:qFormat/>
    <w:rPr>
      <w:rFonts w:ascii="宋体" w:hAnsi="Courier New" w:eastAsia="宋体"/>
      <w:sz w:val="21"/>
      <w:lang w:val="en-US" w:eastAsia="zh-CN" w:bidi="ar-SA"/>
    </w:rPr>
  </w:style>
  <w:style w:type="character" w:styleId="1122" w:customStyle="1">
    <w:name w:val="chanpin1"/>
    <w:uiPriority w:val="0"/>
    <w:qFormat/>
    <w:rPr>
      <w:rFonts w:hint="default" w:ascii="ˎ̥" w:hAnsi="ˎ̥"/>
      <w:color w:val="000000"/>
      <w:sz w:val="20"/>
      <w:szCs w:val="20"/>
      <w:u w:val="none"/>
    </w:rPr>
  </w:style>
  <w:style w:type="character" w:styleId="1123" w:customStyle="1">
    <w:name w:val="列出段落 Char1"/>
    <w:link w:val="1124"/>
    <w:uiPriority w:val="34"/>
    <w:qFormat/>
    <w:rPr>
      <w:rFonts w:ascii="Calibri" w:hAnsi="Calibri" w:eastAsia="宋体"/>
      <w:sz w:val="21"/>
      <w:szCs w:val="22"/>
      <w:lang w:val="en-US" w:eastAsia="zh-CN" w:bidi="ar-SA"/>
    </w:rPr>
  </w:style>
  <w:style w:type="paragraph" w:styleId="1124">
    <w:name w:val="List Paragraph"/>
    <w:basedOn w:val="1025"/>
    <w:link w:val="1123"/>
    <w:uiPriority w:val="34"/>
    <w:qFormat/>
    <w:pPr>
      <w:ind w:firstLine="420"/>
    </w:pPr>
    <w:rPr>
      <w:rFonts w:ascii="Calibri" w:hAnsi="Calibri"/>
      <w:szCs w:val="22"/>
    </w:rPr>
  </w:style>
  <w:style w:type="character" w:styleId="1125" w:customStyle="1">
    <w:name w:val="标题 3 Char Char"/>
    <w:uiPriority w:val="0"/>
    <w:qFormat/>
    <w:rPr>
      <w:rFonts w:eastAsia="宋体"/>
      <w:b/>
      <w:bCs/>
      <w:sz w:val="32"/>
      <w:szCs w:val="32"/>
      <w:lang w:val="en-US" w:eastAsia="zh-CN" w:bidi="ar-SA"/>
    </w:rPr>
  </w:style>
  <w:style w:type="character" w:styleId="1126" w:customStyle="1">
    <w:name w:val="段1 Char"/>
    <w:uiPriority w:val="0"/>
    <w:qFormat/>
    <w:rPr>
      <w:rFonts w:ascii="宋体" w:eastAsia="宋体"/>
      <w:sz w:val="24"/>
      <w:lang w:val="en-US" w:eastAsia="zh-CN" w:bidi="ar-SA"/>
    </w:rPr>
  </w:style>
  <w:style w:type="character" w:styleId="1127" w:customStyle="1">
    <w:name w:val="chanpin拷贝"/>
    <w:uiPriority w:val="0"/>
    <w:qFormat/>
  </w:style>
  <w:style w:type="character" w:styleId="1128" w:customStyle="1">
    <w:name w:val="纯文本 Char1"/>
    <w:uiPriority w:val="0"/>
    <w:qFormat/>
    <w:rPr>
      <w:rFonts w:ascii="宋体" w:hAnsi="Courier New" w:eastAsia="宋体"/>
      <w:sz w:val="21"/>
      <w:lang w:val="en-US" w:eastAsia="zh-CN" w:bidi="ar-SA"/>
    </w:rPr>
  </w:style>
  <w:style w:type="character" w:styleId="1129" w:customStyle="1">
    <w:name w:val="apple-style-span"/>
    <w:uiPriority w:val="0"/>
    <w:qFormat/>
    <w:rPr>
      <w:rFonts w:cs="Times New Roman"/>
    </w:rPr>
  </w:style>
  <w:style w:type="paragraph" w:styleId="1130" w:customStyle="1">
    <w:name w:val="二级条标题"/>
    <w:basedOn w:val="1131"/>
    <w:next w:val="102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1" w:customStyle="1">
    <w:name w:val="一级条标题"/>
    <w:basedOn w:val="1132"/>
    <w:next w:val="1025"/>
    <w:uiPriority w:val="0"/>
    <w:qFormat/>
    <w:pPr>
      <w:numPr>
        <w:ilvl w:val="1"/>
      </w:numPr>
      <w:ind w:left="0" w:hanging="840"/>
      <w:tabs>
        <w:tab w:val="left" w:pos="360" w:leader="none"/>
        <w:tab w:val="left" w:pos="840" w:leader="none"/>
      </w:tabs>
      <w:outlineLvl w:val="1"/>
    </w:pPr>
  </w:style>
  <w:style w:type="paragraph" w:styleId="1132" w:customStyle="1">
    <w:name w:val="章标题"/>
    <w:next w:val="1025"/>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3" w:customStyle="1">
    <w:name w:val="font7"/>
    <w:basedOn w:val="1025"/>
    <w:uiPriority w:val="0"/>
    <w:qFormat/>
    <w:pPr>
      <w:jc w:val="left"/>
      <w:spacing w:before="100" w:beforeAutospacing="1" w:after="100" w:afterAutospacing="1"/>
      <w:widowControl/>
    </w:pPr>
    <w:rPr>
      <w:rFonts w:eastAsia="Arial Unicode MS"/>
      <w:b/>
      <w:bCs/>
      <w:color w:val="000000"/>
      <w:sz w:val="20"/>
      <w:szCs w:val="20"/>
    </w:rPr>
  </w:style>
  <w:style w:type="paragraph" w:styleId="1134" w:customStyle="1">
    <w:name w:val="字元 字元"/>
    <w:basedOn w:val="1025"/>
    <w:uiPriority w:val="0"/>
    <w:qFormat/>
    <w:rPr>
      <w:rFonts w:ascii="Tahoma" w:hAnsi="Tahoma"/>
      <w:sz w:val="24"/>
      <w:szCs w:val="20"/>
    </w:rPr>
  </w:style>
  <w:style w:type="paragraph" w:styleId="1135" w:customStyle="1">
    <w:name w:val="Char3 Char Char Char"/>
    <w:basedOn w:val="1025"/>
    <w:uiPriority w:val="0"/>
    <w:qFormat/>
    <w:rPr>
      <w:rFonts w:ascii="Tahoma" w:hAnsi="Tahoma"/>
      <w:sz w:val="24"/>
      <w:szCs w:val="20"/>
    </w:rPr>
  </w:style>
  <w:style w:type="paragraph" w:styleId="1136" w:customStyle="1">
    <w:name w:val="font6"/>
    <w:basedOn w:val="1025"/>
    <w:uiPriority w:val="0"/>
    <w:qFormat/>
    <w:pPr>
      <w:jc w:val="left"/>
      <w:spacing w:before="100" w:beforeAutospacing="1" w:after="100" w:afterAutospacing="1"/>
      <w:widowControl/>
    </w:pPr>
    <w:rPr>
      <w:rFonts w:ascii="宋体" w:hAnsi="宋体" w:cs="宋体"/>
      <w:sz w:val="20"/>
      <w:szCs w:val="20"/>
    </w:rPr>
  </w:style>
  <w:style w:type="paragraph" w:styleId="1137" w:customStyle="1">
    <w:name w:val="项目编号2"/>
    <w:basedOn w:val="1138"/>
    <w:uiPriority w:val="0"/>
    <w:qFormat/>
    <w:pPr>
      <w:numPr>
        <w:numId w:val="2"/>
      </w:numPr>
    </w:pPr>
  </w:style>
  <w:style w:type="paragraph" w:styleId="1138" w:customStyle="1">
    <w:name w:val="项目编号1"/>
    <w:basedOn w:val="1025"/>
    <w:uiPriority w:val="0"/>
    <w:qFormat/>
    <w:pPr>
      <w:numPr>
        <w:ilvl w:val="0"/>
        <w:numId w:val="3"/>
      </w:numPr>
      <w:spacing w:before="100" w:beforeAutospacing="1" w:after="100" w:afterAutospacing="1" w:line="360" w:lineRule="auto"/>
    </w:pPr>
    <w:rPr>
      <w:sz w:val="24"/>
    </w:rPr>
  </w:style>
  <w:style w:type="paragraph" w:styleId="1139" w:customStyle="1">
    <w:name w:val="图中文字"/>
    <w:basedOn w:val="1025"/>
    <w:uiPriority w:val="0"/>
    <w:qFormat/>
    <w:pPr>
      <w:jc w:val="center"/>
      <w:spacing w:line="0" w:lineRule="atLeast"/>
    </w:pPr>
    <w:rPr>
      <w:sz w:val="24"/>
      <w:szCs w:val="20"/>
    </w:rPr>
  </w:style>
  <w:style w:type="paragraph" w:styleId="1140" w:customStyle="1">
    <w:name w:val="xl46"/>
    <w:basedOn w:val="102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1" w:customStyle="1">
    <w:name w:val="xl25"/>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2" w:customStyle="1">
    <w:name w:val="Char2"/>
    <w:basedOn w:val="1025"/>
    <w:uiPriority w:val="0"/>
    <w:qFormat/>
    <w:rPr>
      <w:rFonts w:ascii="Tahoma" w:hAnsi="Tahoma"/>
      <w:sz w:val="24"/>
      <w:szCs w:val="20"/>
    </w:rPr>
  </w:style>
  <w:style w:type="paragraph" w:styleId="1143" w:customStyle="1">
    <w:name w:val="xl35"/>
    <w:basedOn w:val="102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4" w:customStyle="1">
    <w:name w:val="xl40"/>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5" w:customStyle="1">
    <w:name w:val="xl52"/>
    <w:basedOn w:val="102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46" w:customStyle="1">
    <w:name w:val="xl43"/>
    <w:basedOn w:val="10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7" w:customStyle="1">
    <w:name w:val="background1"/>
    <w:basedOn w:val="1025"/>
    <w:uiPriority w:val="0"/>
    <w:qFormat/>
    <w:pPr>
      <w:jc w:val="left"/>
      <w:spacing w:before="100" w:beforeAutospacing="1" w:after="100" w:afterAutospacing="1"/>
      <w:widowControl/>
    </w:pPr>
    <w:rPr>
      <w:rFonts w:ascii="宋体" w:hAnsi="宋体" w:cs="宋体"/>
      <w:sz w:val="24"/>
    </w:rPr>
  </w:style>
  <w:style w:type="paragraph" w:styleId="1148" w:customStyle="1">
    <w:name w:val="Char Char Char Char Char Char Char"/>
    <w:basedOn w:val="1025"/>
    <w:uiPriority w:val="0"/>
    <w:qFormat/>
    <w:pPr>
      <w:ind w:firstLine="200"/>
      <w:spacing w:line="360" w:lineRule="auto"/>
    </w:pPr>
    <w:rPr>
      <w:rFonts w:eastAsia="仿宋_GB2312"/>
      <w:sz w:val="24"/>
    </w:rPr>
  </w:style>
  <w:style w:type="paragraph" w:styleId="1149" w:customStyle="1">
    <w:name w:val="xl38"/>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0" w:customStyle="1">
    <w:name w:val="xl36"/>
    <w:basedOn w:val="102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customStyle="1">
    <w:name w:val="正文 + 宋体"/>
    <w:basedOn w:val="1025"/>
    <w:uiPriority w:val="0"/>
    <w:qFormat/>
    <w:pPr>
      <w:ind w:left="360" w:hanging="360"/>
      <w:jc w:val="left"/>
      <w:widowControl/>
    </w:pPr>
    <w:rPr>
      <w:rFonts w:ascii="宋体" w:hAnsi="宋体" w:cs="宋体"/>
      <w:b/>
      <w:bCs/>
      <w:color w:val="000000"/>
      <w:sz w:val="18"/>
      <w:szCs w:val="18"/>
    </w:rPr>
  </w:style>
  <w:style w:type="paragraph" w:styleId="1152" w:customStyle="1">
    <w:name w:val="正文列项_数字"/>
    <w:basedOn w:val="102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3" w:customStyle="1">
    <w:name w:val="xl39"/>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4" w:customStyle="1">
    <w:name w:val="xl37"/>
    <w:basedOn w:val="102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customStyle="1">
    <w:name w:val="xl32"/>
    <w:basedOn w:val="102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6" w:customStyle="1">
    <w:name w:val="font8"/>
    <w:basedOn w:val="1025"/>
    <w:uiPriority w:val="0"/>
    <w:qFormat/>
    <w:pPr>
      <w:jc w:val="left"/>
      <w:spacing w:before="100" w:beforeAutospacing="1" w:after="100" w:afterAutospacing="1"/>
      <w:widowControl/>
    </w:pPr>
    <w:rPr>
      <w:sz w:val="36"/>
      <w:szCs w:val="36"/>
    </w:rPr>
  </w:style>
  <w:style w:type="paragraph" w:styleId="1157" w:customStyle="1">
    <w:name w:val="Char"/>
    <w:basedOn w:val="1025"/>
    <w:uiPriority w:val="0"/>
    <w:qFormat/>
    <w:pPr>
      <w:tabs>
        <w:tab w:val="left" w:pos="360" w:leader="none"/>
      </w:tabs>
    </w:pPr>
    <w:rPr>
      <w:sz w:val="24"/>
    </w:rPr>
  </w:style>
  <w:style w:type="paragraph" w:styleId="1158" w:customStyle="1">
    <w:name w:val="Char Char Char Char Char Char Char Char Char Char Char Char Char Char Char Char"/>
    <w:basedOn w:val="1025"/>
    <w:uiPriority w:val="0"/>
    <w:qFormat/>
    <w:pPr>
      <w:jc w:val="center"/>
      <w:spacing w:after="160" w:line="240" w:lineRule="exact"/>
      <w:widowControl/>
    </w:pPr>
    <w:rPr>
      <w:rFonts w:ascii="宋体" w:hAnsi="宋体"/>
      <w:b/>
      <w:sz w:val="30"/>
      <w:szCs w:val="30"/>
      <w:lang w:eastAsia="en-US"/>
    </w:rPr>
  </w:style>
  <w:style w:type="paragraph" w:styleId="1159" w:customStyle="1">
    <w:name w:val="xl45"/>
    <w:basedOn w:val="102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0" w:customStyle="1">
    <w:name w:val="Char Char1 Char Char Char Char Char Char"/>
    <w:basedOn w:val="1025"/>
    <w:uiPriority w:val="0"/>
    <w:qFormat/>
    <w:pPr>
      <w:jc w:val="left"/>
      <w:spacing w:after="160" w:line="240" w:lineRule="exact"/>
      <w:widowControl/>
    </w:pPr>
    <w:rPr>
      <w:rFonts w:ascii="Verdana" w:hAnsi="Verdana" w:eastAsia="仿宋_GB2312"/>
      <w:sz w:val="24"/>
      <w:szCs w:val="20"/>
      <w:lang w:eastAsia="en-US"/>
    </w:rPr>
  </w:style>
  <w:style w:type="paragraph" w:styleId="1161" w:customStyle="1">
    <w:name w:val="Char Char1"/>
    <w:basedOn w:val="1040"/>
    <w:uiPriority w:val="0"/>
    <w:qFormat/>
    <w:rPr>
      <w:rFonts w:ascii="Tahoma" w:hAnsi="Tahoma"/>
      <w:sz w:val="24"/>
    </w:rPr>
  </w:style>
  <w:style w:type="paragraph" w:styleId="1162" w:customStyle="1">
    <w:name w:val="xl26"/>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63" w:customStyle="1">
    <w:name w:val="xl30"/>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4" w:customStyle="1">
    <w:name w:val="xl41"/>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5" w:customStyle="1">
    <w:name w:val="样式 宋体 五号 行距: 单倍行距"/>
    <w:basedOn w:val="1025"/>
    <w:uiPriority w:val="0"/>
    <w:qFormat/>
    <w:pPr>
      <w:jc w:val="left"/>
    </w:pPr>
    <w:rPr>
      <w:rFonts w:ascii="宋体" w:hAnsi="宋体"/>
      <w:szCs w:val="20"/>
    </w:rPr>
  </w:style>
  <w:style w:type="paragraph" w:styleId="1166" w:customStyle="1">
    <w:name w:val="Char1 Char Char Char1"/>
    <w:basedOn w:val="1025"/>
    <w:uiPriority w:val="0"/>
    <w:qFormat/>
    <w:rPr>
      <w:rFonts w:ascii="Tahoma" w:hAnsi="Tahoma" w:cs="仿宋_GB2312"/>
      <w:sz w:val="24"/>
      <w:szCs w:val="28"/>
    </w:rPr>
  </w:style>
  <w:style w:type="paragraph" w:styleId="1167" w:customStyle="1">
    <w:name w:val="四级条标题"/>
    <w:basedOn w:val="1168"/>
    <w:next w:val="1025"/>
    <w:uiPriority w:val="0"/>
    <w:qFormat/>
    <w:pPr>
      <w:numPr>
        <w:ilvl w:val="4"/>
      </w:numPr>
      <w:ind w:left="0" w:hanging="840"/>
      <w:tabs>
        <w:tab w:val="left" w:pos="360" w:leader="none"/>
        <w:tab w:val="left" w:pos="840" w:leader="none"/>
      </w:tabs>
      <w:outlineLvl w:val="4"/>
    </w:pPr>
  </w:style>
  <w:style w:type="paragraph" w:styleId="1168" w:customStyle="1">
    <w:name w:val="三级条标题"/>
    <w:basedOn w:val="1130"/>
    <w:next w:val="1025"/>
    <w:uiPriority w:val="0"/>
    <w:qFormat/>
    <w:pPr>
      <w:numPr>
        <w:ilvl w:val="3"/>
        <w:numId w:val="1"/>
      </w:numPr>
      <w:ind w:left="0" w:hanging="840"/>
      <w:outlineLvl w:val="3"/>
    </w:pPr>
  </w:style>
  <w:style w:type="paragraph" w:styleId="116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0" w:customStyle="1">
    <w:name w:val="样式 标题 2 + 宋体 五号 行距: 单倍行距"/>
    <w:basedOn w:val="1027"/>
    <w:uiPriority w:val="0"/>
    <w:qFormat/>
    <w:pPr>
      <w:numPr>
        <w:ilvl w:val="1"/>
        <w:numId w:val="4"/>
      </w:numPr>
      <w:jc w:val="left"/>
      <w:spacing w:before="260" w:after="260" w:line="240" w:lineRule="auto"/>
    </w:pPr>
    <w:rPr>
      <w:rFonts w:ascii="宋体" w:hAnsi="宋体" w:eastAsia="宋体"/>
      <w:bCs/>
      <w:sz w:val="21"/>
    </w:rPr>
  </w:style>
  <w:style w:type="paragraph" w:styleId="1171" w:customStyle="1">
    <w:name w:val="List Paragraph1"/>
    <w:basedOn w:val="1025"/>
    <w:uiPriority w:val="0"/>
    <w:qFormat/>
    <w:pPr>
      <w:ind w:firstLine="420"/>
    </w:pPr>
    <w:rPr>
      <w:rFonts w:ascii="Calibri" w:hAnsi="Calibri"/>
      <w:szCs w:val="22"/>
    </w:rPr>
  </w:style>
  <w:style w:type="paragraph" w:styleId="1172" w:customStyle="1">
    <w:name w:val="项目符号1"/>
    <w:basedOn w:val="1173"/>
    <w:uiPriority w:val="0"/>
    <w:qFormat/>
    <w:pPr>
      <w:ind w:left="-25" w:firstLine="0"/>
    </w:pPr>
  </w:style>
  <w:style w:type="paragraph" w:styleId="1173" w:customStyle="1">
    <w:name w:val="正文文本样式"/>
    <w:basedOn w:val="1025"/>
    <w:uiPriority w:val="0"/>
    <w:qFormat/>
    <w:pPr>
      <w:ind w:firstLine="482"/>
      <w:spacing w:line="360" w:lineRule="auto"/>
    </w:pPr>
    <w:rPr>
      <w:rFonts w:cs="宋体"/>
      <w:sz w:val="24"/>
      <w:szCs w:val="20"/>
    </w:rPr>
  </w:style>
  <w:style w:type="paragraph" w:styleId="1174" w:customStyle="1">
    <w:name w:val="xl27"/>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5" w:customStyle="1">
    <w:name w:val="font5"/>
    <w:basedOn w:val="1025"/>
    <w:uiPriority w:val="0"/>
    <w:qFormat/>
    <w:pPr>
      <w:jc w:val="left"/>
      <w:spacing w:before="100" w:beforeAutospacing="1" w:after="100" w:afterAutospacing="1"/>
      <w:widowControl/>
    </w:pPr>
    <w:rPr>
      <w:rFonts w:ascii="宋体" w:hAnsi="宋体" w:cs="宋体"/>
      <w:sz w:val="18"/>
      <w:szCs w:val="18"/>
    </w:rPr>
  </w:style>
  <w:style w:type="paragraph" w:styleId="1176" w:customStyle="1">
    <w:name w:val="五级条标题"/>
    <w:basedOn w:val="1167"/>
    <w:next w:val="1025"/>
    <w:uiPriority w:val="0"/>
    <w:qFormat/>
    <w:pPr>
      <w:numPr>
        <w:ilvl w:val="5"/>
      </w:numPr>
      <w:ind w:left="0" w:hanging="840"/>
      <w:outlineLvl w:val="5"/>
    </w:pPr>
  </w:style>
  <w:style w:type="paragraph" w:styleId="1177" w:customStyle="1">
    <w:name w:val="xl49"/>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78" w:customStyle="1">
    <w:name w:val="文档正文"/>
    <w:basedOn w:val="1025"/>
    <w:uiPriority w:val="0"/>
    <w:qFormat/>
    <w:pPr>
      <w:spacing w:before="120" w:after="120" w:line="180" w:lineRule="auto"/>
    </w:pPr>
    <w:rPr>
      <w:rFonts w:ascii="Arial" w:hAnsi="Arial"/>
      <w:szCs w:val="20"/>
    </w:rPr>
  </w:style>
  <w:style w:type="paragraph" w:styleId="1179" w:customStyle="1">
    <w:name w:val="xl33"/>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0" w:customStyle="1">
    <w:name w:val="xl42"/>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1" w:customStyle="1">
    <w:name w:val="Char Char Char1 Char"/>
    <w:basedOn w:val="1025"/>
    <w:uiPriority w:val="0"/>
    <w:qFormat/>
    <w:rPr>
      <w:rFonts w:ascii="Tahoma" w:hAnsi="Tahoma"/>
      <w:sz w:val="24"/>
      <w:szCs w:val="20"/>
    </w:rPr>
  </w:style>
  <w:style w:type="paragraph" w:styleId="1182" w:customStyle="1">
    <w:name w:val="xl44"/>
    <w:basedOn w:val="102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3" w:customStyle="1">
    <w:name w:val="1名"/>
    <w:basedOn w:val="1025"/>
    <w:uiPriority w:val="0"/>
    <w:qFormat/>
    <w:pPr>
      <w:numPr>
        <w:ilvl w:val="0"/>
        <w:numId w:val="5"/>
      </w:numPr>
      <w:spacing w:before="120"/>
    </w:pPr>
    <w:rPr>
      <w:rFonts w:ascii="宋体"/>
      <w:sz w:val="28"/>
      <w:szCs w:val="20"/>
    </w:rPr>
  </w:style>
  <w:style w:type="paragraph" w:styleId="1184" w:customStyle="1">
    <w:name w:val="font9"/>
    <w:basedOn w:val="102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5" w:customStyle="1">
    <w:name w:val="Char Char Char1 Char1"/>
    <w:basedOn w:val="1025"/>
    <w:uiPriority w:val="0"/>
    <w:qFormat/>
    <w:rPr>
      <w:rFonts w:ascii="Tahoma" w:hAnsi="Tahoma"/>
      <w:sz w:val="24"/>
      <w:szCs w:val="20"/>
    </w:rPr>
  </w:style>
  <w:style w:type="paragraph" w:styleId="1186" w:customStyle="1">
    <w:name w:val="Char Char Char Char Char Char Char Char Char Char"/>
    <w:basedOn w:val="1025"/>
    <w:uiPriority w:val="0"/>
    <w:qFormat/>
  </w:style>
  <w:style w:type="paragraph" w:styleId="1187" w:customStyle="1">
    <w:name w:val="Char Char1 Char Char Char Char Char Char Char Char"/>
    <w:basedOn w:val="1025"/>
    <w:uiPriority w:val="0"/>
    <w:qFormat/>
    <w:pPr>
      <w:jc w:val="left"/>
      <w:spacing w:after="160" w:line="240" w:lineRule="exact"/>
      <w:widowControl/>
    </w:pPr>
    <w:rPr>
      <w:rFonts w:ascii="Verdana" w:hAnsi="Verdana"/>
      <w:sz w:val="20"/>
      <w:szCs w:val="20"/>
      <w:lang w:eastAsia="en-US"/>
    </w:rPr>
  </w:style>
  <w:style w:type="paragraph" w:styleId="1188" w:customStyle="1">
    <w:name w:val="Char1"/>
    <w:basedOn w:val="1025"/>
    <w:uiPriority w:val="0"/>
    <w:qFormat/>
    <w:pPr>
      <w:tabs>
        <w:tab w:val="left" w:pos="360" w:leader="none"/>
      </w:tabs>
    </w:pPr>
    <w:rPr>
      <w:sz w:val="24"/>
    </w:rPr>
  </w:style>
  <w:style w:type="paragraph" w:styleId="1189" w:customStyle="1">
    <w:name w:val="正文列项_字母"/>
    <w:basedOn w:val="102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0" w:customStyle="1">
    <w:name w:val="xl28"/>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1" w:customStyle="1">
    <w:name w:val="xl47"/>
    <w:basedOn w:val="102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2" w:customStyle="1">
    <w:name w:val="默认段落字体 Para Char Char Char Char"/>
    <w:basedOn w:val="1025"/>
    <w:uiPriority w:val="0"/>
    <w:qFormat/>
    <w:rPr>
      <w:rFonts w:ascii="Arial" w:hAnsi="Arial" w:cs="Arial"/>
      <w:szCs w:val="21"/>
    </w:rPr>
  </w:style>
  <w:style w:type="paragraph" w:styleId="1193" w:customStyle="1">
    <w:name w:val="xl48"/>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94" w:customStyle="1">
    <w:name w:val="xl31"/>
    <w:basedOn w:val="102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5" w:customStyle="1">
    <w:name w:val="xl53"/>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6" w:customStyle="1">
    <w:name w:val="Char Char Char"/>
    <w:basedOn w:val="1025"/>
    <w:uiPriority w:val="0"/>
    <w:qFormat/>
    <w:rPr>
      <w:rFonts w:ascii="Tahoma" w:hAnsi="Tahoma"/>
      <w:sz w:val="24"/>
      <w:szCs w:val="20"/>
    </w:rPr>
  </w:style>
  <w:style w:type="paragraph" w:styleId="1197" w:customStyle="1">
    <w:name w:val="xl50"/>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98" w:customStyle="1">
    <w:name w:val="缺省文本"/>
    <w:basedOn w:val="1025"/>
    <w:uiPriority w:val="0"/>
    <w:qFormat/>
    <w:pPr>
      <w:jc w:val="left"/>
    </w:pPr>
    <w:rPr>
      <w:sz w:val="24"/>
    </w:rPr>
  </w:style>
  <w:style w:type="paragraph" w:styleId="1199" w:customStyle="1">
    <w:name w:val="Char Char Char1"/>
    <w:basedOn w:val="1025"/>
    <w:uiPriority w:val="0"/>
    <w:qFormat/>
    <w:rPr>
      <w:rFonts w:ascii="Tahoma" w:hAnsi="Tahoma"/>
      <w:sz w:val="24"/>
      <w:szCs w:val="20"/>
    </w:rPr>
  </w:style>
  <w:style w:type="paragraph" w:styleId="1200" w:customStyle="1">
    <w:name w:val="Char Char Char Char Char Char Char1"/>
    <w:basedOn w:val="1025"/>
    <w:uiPriority w:val="0"/>
    <w:qFormat/>
    <w:pPr>
      <w:ind w:firstLine="200"/>
      <w:spacing w:line="360" w:lineRule="auto"/>
    </w:pPr>
    <w:rPr>
      <w:rFonts w:eastAsia="仿宋_GB2312"/>
      <w:sz w:val="24"/>
    </w:rPr>
  </w:style>
  <w:style w:type="paragraph" w:styleId="1201" w:customStyle="1">
    <w:name w:val="xl51"/>
    <w:basedOn w:val="1025"/>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2" w:customStyle="1">
    <w:name w:val="样式2"/>
    <w:basedOn w:val="1066"/>
    <w:uiPriority w:val="0"/>
    <w:qFormat/>
    <w:pPr>
      <w:jc w:val="center"/>
      <w:spacing w:line="360" w:lineRule="auto"/>
    </w:pPr>
    <w:rPr>
      <w:sz w:val="24"/>
    </w:rPr>
  </w:style>
  <w:style w:type="paragraph" w:styleId="1203" w:customStyle="1">
    <w:name w:val="xl24"/>
    <w:basedOn w:val="10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4" w:customStyle="1">
    <w:name w:val="xl29"/>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5" w:customStyle="1">
    <w:name w:val="正文 + 楷体_GB2312"/>
    <w:basedOn w:val="1025"/>
    <w:uiPriority w:val="0"/>
    <w:qFormat/>
    <w:pPr>
      <w:jc w:val="left"/>
      <w:widowControl/>
    </w:pPr>
    <w:rPr>
      <w:rFonts w:ascii="楷体_GB2312" w:eastAsia="楷体_GB2312" w:cs="Arial"/>
      <w:sz w:val="24"/>
    </w:rPr>
  </w:style>
  <w:style w:type="paragraph" w:styleId="1206" w:customStyle="1">
    <w:name w:val="xl34"/>
    <w:basedOn w:val="10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07" w:customStyle="1">
    <w:name w:val="1 Char Char Char Char"/>
    <w:basedOn w:val="1025"/>
    <w:uiPriority w:val="0"/>
    <w:qFormat/>
    <w:rPr>
      <w:rFonts w:ascii="Tahoma" w:hAnsi="Tahoma"/>
      <w:sz w:val="24"/>
      <w:szCs w:val="20"/>
    </w:rPr>
  </w:style>
  <w:style w:type="paragraph" w:styleId="1208" w:customStyle="1">
    <w:name w:val="default"/>
    <w:basedOn w:val="1025"/>
    <w:uiPriority w:val="0"/>
    <w:qFormat/>
    <w:pPr>
      <w:jc w:val="left"/>
      <w:spacing w:before="100" w:beforeAutospacing="1" w:after="100" w:afterAutospacing="1"/>
      <w:widowControl/>
    </w:pPr>
    <w:rPr>
      <w:rFonts w:ascii="宋体" w:hAnsi="宋体" w:cs="宋体"/>
      <w:sz w:val="24"/>
    </w:rPr>
  </w:style>
  <w:style w:type="paragraph" w:styleId="1209" w:customStyle="1">
    <w:name w:val="字元 字元1"/>
    <w:basedOn w:val="1025"/>
    <w:uiPriority w:val="0"/>
    <w:qFormat/>
    <w:rPr>
      <w:rFonts w:ascii="Tahoma" w:hAnsi="Tahoma"/>
      <w:sz w:val="24"/>
      <w:szCs w:val="20"/>
    </w:rPr>
  </w:style>
  <w:style w:type="paragraph" w:styleId="1210" w:customStyle="1">
    <w:name w:val="_Style 160"/>
    <w:uiPriority w:val="0"/>
    <w:qFormat/>
    <w:rPr>
      <w:rFonts w:ascii="Times New Roman" w:hAnsi="Times New Roman" w:eastAsia="宋体" w:cs="Times New Roman"/>
      <w:sz w:val="21"/>
      <w:szCs w:val="24"/>
      <w:lang w:val="en-US" w:eastAsia="zh-CN" w:bidi="ar-SA"/>
    </w:rPr>
  </w:style>
  <w:style w:type="paragraph" w:styleId="1211" w:customStyle="1">
    <w:name w:val="项目编号3"/>
    <w:basedOn w:val="1173"/>
    <w:uiPriority w:val="0"/>
    <w:qFormat/>
    <w:pPr>
      <w:numPr>
        <w:ilvl w:val="0"/>
        <w:numId w:val="6"/>
      </w:numPr>
    </w:pPr>
  </w:style>
  <w:style w:type="paragraph" w:styleId="1212" w:customStyle="1">
    <w:name w:val="Char21"/>
    <w:basedOn w:val="1025"/>
    <w:uiPriority w:val="0"/>
    <w:qFormat/>
    <w:rPr>
      <w:rFonts w:ascii="Tahoma" w:hAnsi="Tahoma"/>
      <w:sz w:val="24"/>
      <w:szCs w:val="20"/>
    </w:rPr>
  </w:style>
  <w:style w:type="paragraph" w:styleId="1213" w:customStyle="1">
    <w:name w:val="表格文字"/>
    <w:basedOn w:val="1045"/>
    <w:uiPriority w:val="0"/>
    <w:qFormat/>
    <w:pPr>
      <w:ind w:firstLine="0"/>
      <w:spacing w:before="20" w:after="20" w:line="240" w:lineRule="auto"/>
    </w:pPr>
    <w:rPr>
      <w:rFonts w:ascii="Century Gothic" w:hAnsi="Century Gothic"/>
      <w:sz w:val="20"/>
      <w:szCs w:val="20"/>
    </w:rPr>
  </w:style>
  <w:style w:type="paragraph" w:styleId="1214" w:customStyle="1">
    <w:name w:val="Char Char Char Char Char Char Char Char Char Char1"/>
    <w:basedOn w:val="1025"/>
    <w:uiPriority w:val="0"/>
    <w:qFormat/>
    <w:rPr>
      <w:rFonts w:ascii="宋体" w:hAnsi="宋体" w:cs="Courier New"/>
      <w:sz w:val="32"/>
      <w:szCs w:val="32"/>
    </w:rPr>
  </w:style>
  <w:style w:type="paragraph" w:styleId="1215" w:customStyle="1">
    <w:name w:val="正文文本样式 加粗"/>
    <w:basedOn w:val="1173"/>
    <w:uiPriority w:val="0"/>
    <w:qFormat/>
    <w:rPr>
      <w:b/>
    </w:rPr>
  </w:style>
  <w:style w:type="paragraph" w:styleId="1216" w:customStyle="1">
    <w:name w:val="Char2 Char Char Char Char Char Char"/>
    <w:basedOn w:val="1025"/>
    <w:uiPriority w:val="0"/>
    <w:qFormat/>
    <w:pPr>
      <w:jc w:val="center"/>
      <w:spacing w:line="400" w:lineRule="exact"/>
      <w:widowControl/>
    </w:pPr>
  </w:style>
  <w:style w:type="paragraph" w:styleId="1217" w:customStyle="1">
    <w:name w:val="Char Char4"/>
    <w:basedOn w:val="1025"/>
    <w:uiPriority w:val="0"/>
    <w:qFormat/>
    <w:pPr>
      <w:jc w:val="center"/>
      <w:spacing w:line="400" w:lineRule="exact"/>
      <w:widowControl/>
    </w:pPr>
  </w:style>
  <w:style w:type="paragraph" w:styleId="1218" w:customStyle="1">
    <w:name w:val="Char3 Char Char Char1"/>
    <w:basedOn w:val="1025"/>
    <w:uiPriority w:val="0"/>
    <w:qFormat/>
    <w:rPr>
      <w:rFonts w:ascii="Tahoma" w:hAnsi="Tahoma"/>
      <w:sz w:val="24"/>
      <w:szCs w:val="20"/>
    </w:rPr>
  </w:style>
  <w:style w:type="paragraph" w:styleId="121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22222222222222"/>
    <w:basedOn w:val="1025"/>
    <w:uiPriority w:val="0"/>
    <w:qFormat/>
    <w:pPr>
      <w:ind w:firstLine="480"/>
      <w:jc w:val="left"/>
      <w:spacing w:line="360" w:lineRule="auto"/>
      <w:widowControl/>
    </w:pPr>
    <w:rPr>
      <w:color w:val="ff0000"/>
      <w:sz w:val="24"/>
      <w:szCs w:val="20"/>
    </w:rPr>
  </w:style>
  <w:style w:type="character" w:styleId="1221" w:customStyle="1">
    <w:name w:val="中等深浅网格 1 - 强调文字颜色 2 Char"/>
    <w:link w:val="1222"/>
    <w:uiPriority w:val="0"/>
    <w:qFormat/>
    <w:rPr>
      <w:sz w:val="21"/>
      <w:szCs w:val="24"/>
      <w:lang w:val="zh-CN" w:eastAsia="zh-CN" w:bidi="ar-SA"/>
    </w:rPr>
  </w:style>
  <w:style w:type="paragraph" w:styleId="1222" w:customStyle="1">
    <w:name w:val="1"/>
    <w:link w:val="1221"/>
    <w:uiPriority w:val="0"/>
    <w:qFormat/>
    <w:rPr>
      <w:rFonts w:ascii="Times New Roman" w:hAnsi="Times New Roman" w:eastAsia="宋体" w:cs="Times New Roman"/>
      <w:sz w:val="21"/>
      <w:szCs w:val="24"/>
      <w:lang w:val="zh-CN" w:eastAsia="zh-CN" w:bidi="ar-SA"/>
    </w:rPr>
  </w:style>
  <w:style w:type="paragraph" w:styleId="1223" w:customStyle="1">
    <w:name w:val="图文"/>
    <w:basedOn w:val="1025"/>
    <w:uiPriority w:val="0"/>
    <w:qFormat/>
    <w:pPr>
      <w:spacing w:after="50" w:line="360" w:lineRule="auto"/>
    </w:pPr>
    <w:rPr>
      <w:sz w:val="24"/>
    </w:rPr>
  </w:style>
  <w:style w:type="paragraph" w:styleId="1224" w:customStyle="1">
    <w:name w:val="xl23"/>
    <w:basedOn w:val="1025"/>
    <w:uiPriority w:val="0"/>
    <w:qFormat/>
    <w:pPr>
      <w:spacing w:before="100" w:beforeAutospacing="1" w:after="100" w:afterAutospacing="1" w:line="360" w:lineRule="auto"/>
      <w:widowControl/>
    </w:pPr>
    <w:rPr>
      <w:sz w:val="24"/>
      <w:szCs w:val="20"/>
    </w:rPr>
  </w:style>
  <w:style w:type="paragraph" w:styleId="1225" w:customStyle="1">
    <w:name w:val="正文表格"/>
    <w:basedOn w:val="1025"/>
    <w:link w:val="1226"/>
    <w:uiPriority w:val="0"/>
    <w:qFormat/>
    <w:pPr>
      <w:jc w:val="left"/>
    </w:pPr>
    <w:rPr>
      <w:rFonts w:ascii="宋体" w:hAnsi="宋体"/>
      <w:color w:val="000000"/>
      <w:szCs w:val="21"/>
    </w:rPr>
  </w:style>
  <w:style w:type="character" w:styleId="1226" w:customStyle="1">
    <w:name w:val="正文表格 Char"/>
    <w:link w:val="1225"/>
    <w:uiPriority w:val="0"/>
    <w:qFormat/>
    <w:rPr>
      <w:rFonts w:ascii="宋体" w:hAnsi="宋体"/>
      <w:color w:val="000000"/>
      <w:sz w:val="21"/>
      <w:szCs w:val="21"/>
    </w:rPr>
  </w:style>
  <w:style w:type="paragraph" w:styleId="1227" w:customStyle="1">
    <w:name w:val="正文重点"/>
    <w:basedOn w:val="1025"/>
    <w:link w:val="1228"/>
    <w:uiPriority w:val="0"/>
    <w:qFormat/>
    <w:pPr>
      <w:ind w:firstLine="482"/>
      <w:jc w:val="left"/>
      <w:spacing w:line="360" w:lineRule="auto"/>
    </w:pPr>
    <w:rPr>
      <w:b/>
      <w:sz w:val="24"/>
      <w:szCs w:val="20"/>
    </w:rPr>
  </w:style>
  <w:style w:type="character" w:styleId="1228" w:customStyle="1">
    <w:name w:val="正文重点 Char"/>
    <w:link w:val="1227"/>
    <w:uiPriority w:val="0"/>
    <w:qFormat/>
    <w:rPr>
      <w:b/>
      <w:sz w:val="24"/>
    </w:rPr>
  </w:style>
  <w:style w:type="paragraph" w:styleId="1229" w:customStyle="1">
    <w:name w:val="标题1-附件"/>
    <w:basedOn w:val="1026"/>
    <w:uiPriority w:val="0"/>
    <w:qFormat/>
    <w:pPr>
      <w:jc w:val="left"/>
    </w:pPr>
    <w:rPr>
      <w:sz w:val="24"/>
      <w:szCs w:val="24"/>
    </w:rPr>
  </w:style>
  <w:style w:type="paragraph" w:styleId="1230" w:customStyle="1">
    <w:name w:val="正文小标题"/>
    <w:basedOn w:val="1025"/>
    <w:next w:val="1038"/>
    <w:link w:val="1231"/>
    <w:uiPriority w:val="0"/>
    <w:qFormat/>
    <w:pPr>
      <w:ind w:firstLine="482"/>
      <w:jc w:val="left"/>
      <w:spacing w:before="312" w:after="312"/>
    </w:pPr>
    <w:rPr>
      <w:rFonts w:ascii="宋体" w:hAnsi="宋体"/>
      <w:b/>
      <w:i/>
      <w:color w:val="ff0000"/>
      <w:sz w:val="24"/>
      <w:szCs w:val="20"/>
    </w:rPr>
  </w:style>
  <w:style w:type="character" w:styleId="1231" w:customStyle="1">
    <w:name w:val="正文小标题 Char"/>
    <w:link w:val="1230"/>
    <w:uiPriority w:val="0"/>
    <w:qFormat/>
    <w:rPr>
      <w:rFonts w:ascii="宋体" w:hAnsi="宋体"/>
      <w:b/>
      <w:i/>
      <w:color w:val="ff0000"/>
      <w:sz w:val="24"/>
    </w:rPr>
  </w:style>
  <w:style w:type="paragraph" w:styleId="1232" w:customStyle="1">
    <w:name w:val="正文大标题"/>
    <w:basedOn w:val="1230"/>
    <w:next w:val="1038"/>
    <w:link w:val="1233"/>
    <w:uiPriority w:val="0"/>
    <w:qFormat/>
    <w:pPr>
      <w:jc w:val="center"/>
    </w:pPr>
    <w:rPr>
      <w:i w:val="0"/>
      <w:color w:val="000000"/>
      <w:sz w:val="28"/>
      <w:szCs w:val="21"/>
    </w:rPr>
  </w:style>
  <w:style w:type="character" w:styleId="1233" w:customStyle="1">
    <w:name w:val="正文大标题 Char"/>
    <w:link w:val="1232"/>
    <w:uiPriority w:val="0"/>
    <w:qFormat/>
    <w:rPr>
      <w:rFonts w:ascii="宋体" w:hAnsi="宋体"/>
      <w:b/>
      <w:color w:val="000000"/>
      <w:sz w:val="28"/>
      <w:szCs w:val="21"/>
    </w:rPr>
  </w:style>
  <w:style w:type="paragraph" w:styleId="1234" w:customStyle="1">
    <w:name w:val="注释"/>
    <w:basedOn w:val="1025"/>
    <w:link w:val="1235"/>
    <w:uiPriority w:val="0"/>
    <w:qFormat/>
    <w:pPr>
      <w:ind w:left="420" w:hanging="420"/>
      <w:jc w:val="left"/>
    </w:pPr>
    <w:rPr>
      <w:rFonts w:ascii="宋体" w:hAnsi="宋体"/>
      <w:szCs w:val="21"/>
    </w:rPr>
  </w:style>
  <w:style w:type="character" w:styleId="1235" w:customStyle="1">
    <w:name w:val="注释 Char"/>
    <w:link w:val="1234"/>
    <w:uiPriority w:val="0"/>
    <w:qFormat/>
    <w:rPr>
      <w:rFonts w:ascii="宋体" w:hAnsi="宋体"/>
      <w:sz w:val="21"/>
      <w:szCs w:val="21"/>
    </w:rPr>
  </w:style>
  <w:style w:type="paragraph" w:styleId="1236" w:customStyle="1">
    <w:name w:val="正文须知-1级"/>
    <w:basedOn w:val="1025"/>
    <w:next w:val="1025"/>
    <w:uiPriority w:val="0"/>
    <w:qFormat/>
    <w:pPr>
      <w:numPr>
        <w:ilvl w:val="0"/>
        <w:numId w:val="7"/>
      </w:numPr>
      <w:spacing w:line="300" w:lineRule="auto"/>
    </w:pPr>
    <w:rPr>
      <w:rFonts w:ascii="宋体" w:hAnsi="Calibri"/>
      <w:sz w:val="24"/>
      <w:szCs w:val="21"/>
    </w:rPr>
  </w:style>
  <w:style w:type="paragraph" w:styleId="1237" w:customStyle="1">
    <w:name w:val="正文须知-2级"/>
    <w:basedOn w:val="1025"/>
    <w:uiPriority w:val="0"/>
    <w:qFormat/>
    <w:pPr>
      <w:numPr>
        <w:ilvl w:val="1"/>
        <w:numId w:val="7"/>
      </w:numPr>
      <w:spacing w:line="300" w:lineRule="auto"/>
    </w:pPr>
    <w:rPr>
      <w:rFonts w:ascii="宋体" w:hAnsi="Calibri"/>
      <w:sz w:val="24"/>
      <w:szCs w:val="21"/>
    </w:rPr>
  </w:style>
  <w:style w:type="paragraph" w:styleId="1238" w:customStyle="1">
    <w:name w:val="正文须知-3级"/>
    <w:basedOn w:val="1025"/>
    <w:uiPriority w:val="0"/>
    <w:qFormat/>
    <w:pPr>
      <w:numPr>
        <w:ilvl w:val="2"/>
        <w:numId w:val="7"/>
      </w:numPr>
      <w:ind w:hanging="355"/>
      <w:spacing w:line="300" w:lineRule="auto"/>
    </w:pPr>
    <w:rPr>
      <w:rFonts w:ascii="宋体" w:hAnsi="Calibri"/>
      <w:sz w:val="24"/>
      <w:szCs w:val="21"/>
    </w:rPr>
  </w:style>
  <w:style w:type="character" w:styleId="1239" w:customStyle="1">
    <w:name w:val="纯文本 字符"/>
    <w:uiPriority w:val="99"/>
    <w:qFormat/>
    <w:rPr>
      <w:rFonts w:ascii="宋体" w:hAnsi="Courier New" w:eastAsia="宋体" w:cs="Times New Roman"/>
      <w:sz w:val="21"/>
      <w:szCs w:val="21"/>
      <w:lang w:val="en-US" w:eastAsia="zh-CN" w:bidi="ar-SA"/>
    </w:rPr>
  </w:style>
  <w:style w:type="paragraph" w:styleId="1240" w:customStyle="1">
    <w:name w:val="表格1"/>
    <w:basedOn w:val="1025"/>
    <w:uiPriority w:val="0"/>
    <w:qFormat/>
    <w:pPr>
      <w:ind w:firstLine="480"/>
      <w:jc w:val="center"/>
    </w:pPr>
    <w:rPr>
      <w:sz w:val="24"/>
      <w:szCs w:val="20"/>
    </w:rPr>
  </w:style>
  <w:style w:type="character" w:styleId="1241" w:customStyle="1">
    <w:name w:val="纯文本 字符1"/>
    <w:uiPriority w:val="0"/>
    <w:qFormat/>
    <w:rPr>
      <w:rFonts w:ascii="宋体" w:hAnsi="Courier New"/>
    </w:rPr>
  </w:style>
  <w:style w:type="character" w:styleId="1242" w:customStyle="1">
    <w:name w:val="bjh-p"/>
    <w:uiPriority w:val="0"/>
    <w:qFormat/>
  </w:style>
  <w:style w:type="paragraph" w:styleId="1243" w:customStyle="1">
    <w:name w:val="无标题条"/>
    <w:next w:val="1025"/>
    <w:uiPriority w:val="0"/>
    <w:qFormat/>
    <w:pPr>
      <w:jc w:val="both"/>
    </w:pPr>
    <w:rPr>
      <w:rFonts w:ascii="Times New Roman" w:hAnsi="Times New Roman" w:eastAsia="宋体" w:cs="Times New Roman"/>
      <w:sz w:val="21"/>
      <w:lang w:val="en-US" w:eastAsia="zh-CN" w:bidi="ar-SA"/>
    </w:rPr>
  </w:style>
  <w:style w:type="character" w:styleId="1244" w:customStyle="1">
    <w:name w:val="正文格式 Char"/>
    <w:link w:val="1245"/>
    <w:uiPriority w:val="0"/>
    <w:qFormat/>
    <w:rPr>
      <w:rFonts w:ascii="宋体" w:hAnsi="宋体"/>
      <w:sz w:val="24"/>
      <w:szCs w:val="24"/>
      <w:lang w:val="en-GB"/>
    </w:rPr>
  </w:style>
  <w:style w:type="paragraph" w:styleId="1245" w:customStyle="1">
    <w:name w:val="正文格式"/>
    <w:basedOn w:val="1025"/>
    <w:link w:val="1244"/>
    <w:uiPriority w:val="0"/>
    <w:qFormat/>
    <w:pPr>
      <w:ind w:firstLine="480"/>
      <w:spacing w:line="360" w:lineRule="auto"/>
    </w:pPr>
    <w:rPr>
      <w:rFonts w:ascii="宋体" w:hAnsi="宋体"/>
      <w:sz w:val="24"/>
      <w:lang w:val="en-GB"/>
    </w:rPr>
  </w:style>
  <w:style w:type="character" w:styleId="1246" w:customStyle="1">
    <w:name w:val="标题 3 Char"/>
    <w:uiPriority w:val="0"/>
    <w:qFormat/>
    <w:rPr>
      <w:rFonts w:ascii="宋体" w:eastAsia="宋体"/>
      <w:b/>
      <w:sz w:val="24"/>
      <w:u w:val="single"/>
      <w:lang w:val="en-US" w:eastAsia="zh-CN" w:bidi="ar-SA"/>
    </w:rPr>
  </w:style>
  <w:style w:type="character" w:styleId="1247" w:customStyle="1">
    <w:name w:val="正文缩进 Char"/>
    <w:uiPriority w:val="0"/>
    <w:qFormat/>
    <w:rPr>
      <w:rFonts w:ascii="宋体" w:eastAsia="宋体"/>
      <w:sz w:val="24"/>
      <w:szCs w:val="24"/>
      <w:lang w:val="en-US" w:eastAsia="zh-CN" w:bidi="ar-SA"/>
    </w:rPr>
  </w:style>
  <w:style w:type="character" w:styleId="1248" w:customStyle="1">
    <w:name w:val="Char Char111"/>
    <w:uiPriority w:val="0"/>
    <w:qFormat/>
    <w:rPr>
      <w:rFonts w:ascii="宋体" w:eastAsia="宋体"/>
      <w:b/>
      <w:sz w:val="24"/>
      <w:u w:val="single"/>
      <w:lang w:val="en-US" w:eastAsia="zh-CN" w:bidi="ar-SA"/>
    </w:rPr>
  </w:style>
  <w:style w:type="character" w:styleId="1249" w:customStyle="1">
    <w:name w:val="正文文本缩进 Char"/>
    <w:uiPriority w:val="0"/>
    <w:qFormat/>
    <w:rPr>
      <w:rFonts w:eastAsia="宋体"/>
      <w:sz w:val="24"/>
      <w:szCs w:val="24"/>
      <w:lang w:val="en-US" w:eastAsia="zh-CN" w:bidi="ar-SA"/>
    </w:rPr>
  </w:style>
  <w:style w:type="character" w:styleId="1250" w:customStyle="1">
    <w:name w:val="列出段落 Char"/>
    <w:uiPriority w:val="0"/>
    <w:qFormat/>
    <w:rPr>
      <w:rFonts w:ascii="Calibri" w:hAnsi="Calibri" w:eastAsia="宋体"/>
      <w:sz w:val="21"/>
      <w:szCs w:val="22"/>
      <w:lang w:val="en-US" w:eastAsia="zh-CN" w:bidi="ar-SA"/>
    </w:rPr>
  </w:style>
  <w:style w:type="character" w:styleId="1251" w:customStyle="1">
    <w:name w:val="页眉 Char"/>
    <w:uiPriority w:val="0"/>
    <w:qFormat/>
    <w:rPr>
      <w:rFonts w:eastAsia="宋体"/>
      <w:sz w:val="18"/>
      <w:szCs w:val="18"/>
      <w:lang w:val="en-US" w:eastAsia="zh-CN" w:bidi="ar-SA"/>
    </w:rPr>
  </w:style>
  <w:style w:type="character" w:styleId="1252" w:customStyle="1">
    <w:name w:val="标题 2 Char"/>
    <w:uiPriority w:val="0"/>
    <w:qFormat/>
    <w:rPr>
      <w:rFonts w:ascii="Arial" w:hAnsi="Arial" w:eastAsia="黑体"/>
      <w:b/>
      <w:sz w:val="30"/>
      <w:lang w:val="en-US" w:eastAsia="zh-CN" w:bidi="ar-SA"/>
    </w:rPr>
  </w:style>
  <w:style w:type="paragraph" w:styleId="1253" w:customStyle="1">
    <w:name w:val="字元 字元2"/>
    <w:basedOn w:val="1025"/>
    <w:uiPriority w:val="0"/>
    <w:qFormat/>
    <w:rPr>
      <w:rFonts w:ascii="Tahoma" w:hAnsi="Tahoma"/>
      <w:sz w:val="24"/>
      <w:szCs w:val="20"/>
    </w:rPr>
  </w:style>
  <w:style w:type="paragraph" w:styleId="1254" w:customStyle="1">
    <w:name w:val="Char3 Char Char Char2"/>
    <w:basedOn w:val="1025"/>
    <w:uiPriority w:val="0"/>
    <w:qFormat/>
    <w:rPr>
      <w:rFonts w:ascii="Tahoma" w:hAnsi="Tahoma"/>
      <w:sz w:val="24"/>
      <w:szCs w:val="20"/>
    </w:rPr>
  </w:style>
  <w:style w:type="paragraph" w:styleId="1255" w:customStyle="1">
    <w:name w:val="正文文本缩进2"/>
    <w:basedOn w:val="1025"/>
    <w:uiPriority w:val="0"/>
    <w:qFormat/>
    <w:pPr>
      <w:ind w:firstLine="480"/>
      <w:spacing w:line="480" w:lineRule="exact"/>
    </w:pPr>
    <w:rPr>
      <w:rFonts w:ascii="宋体" w:hAnsi="宋体"/>
      <w:sz w:val="24"/>
      <w:lang w:val="zh-CN"/>
    </w:rPr>
  </w:style>
  <w:style w:type="paragraph" w:styleId="1256" w:customStyle="1">
    <w:name w:val="Char3"/>
    <w:basedOn w:val="1025"/>
    <w:uiPriority w:val="0"/>
    <w:qFormat/>
    <w:pPr>
      <w:tabs>
        <w:tab w:val="left" w:pos="360" w:leader="none"/>
      </w:tabs>
    </w:pPr>
    <w:rPr>
      <w:sz w:val="24"/>
    </w:rPr>
  </w:style>
  <w:style w:type="paragraph" w:styleId="1257" w:customStyle="1">
    <w:name w:val="Char Char Char Char Char Char Char Char Char Char Char Char Char Char Char Char1"/>
    <w:basedOn w:val="1025"/>
    <w:uiPriority w:val="0"/>
    <w:qFormat/>
    <w:pPr>
      <w:jc w:val="center"/>
      <w:spacing w:after="160" w:line="240" w:lineRule="exact"/>
      <w:widowControl/>
    </w:pPr>
    <w:rPr>
      <w:rFonts w:ascii="宋体" w:hAnsi="宋体"/>
      <w:b/>
      <w:sz w:val="30"/>
      <w:szCs w:val="30"/>
      <w:lang w:eastAsia="en-US"/>
    </w:rPr>
  </w:style>
  <w:style w:type="paragraph" w:styleId="1258" w:customStyle="1">
    <w:name w:val="Char Char1 Char Char Char Char Char Char1"/>
    <w:basedOn w:val="1025"/>
    <w:uiPriority w:val="0"/>
    <w:qFormat/>
    <w:pPr>
      <w:jc w:val="left"/>
      <w:spacing w:after="160" w:line="240" w:lineRule="exact"/>
      <w:widowControl/>
    </w:pPr>
    <w:rPr>
      <w:rFonts w:ascii="Verdana" w:hAnsi="Verdana" w:eastAsia="仿宋_GB2312"/>
      <w:sz w:val="24"/>
      <w:szCs w:val="20"/>
      <w:lang w:eastAsia="en-US"/>
    </w:rPr>
  </w:style>
  <w:style w:type="paragraph" w:styleId="1259" w:customStyle="1">
    <w:name w:val="列出段落2"/>
    <w:basedOn w:val="1025"/>
    <w:uiPriority w:val="0"/>
    <w:qFormat/>
    <w:pPr>
      <w:ind w:firstLine="420"/>
    </w:pPr>
    <w:rPr>
      <w:rFonts w:ascii="Calibri" w:hAnsi="Calibri"/>
      <w:szCs w:val="22"/>
    </w:rPr>
  </w:style>
  <w:style w:type="paragraph" w:styleId="1260" w:customStyle="1">
    <w:name w:val="Char Char Char1 Char2"/>
    <w:basedOn w:val="1025"/>
    <w:uiPriority w:val="0"/>
    <w:qFormat/>
    <w:rPr>
      <w:rFonts w:ascii="Tahoma" w:hAnsi="Tahoma"/>
      <w:sz w:val="24"/>
      <w:szCs w:val="20"/>
    </w:rPr>
  </w:style>
  <w:style w:type="paragraph" w:styleId="1261" w:customStyle="1">
    <w:name w:val="Char Char Char2"/>
    <w:basedOn w:val="1025"/>
    <w:uiPriority w:val="0"/>
    <w:qFormat/>
    <w:rPr>
      <w:rFonts w:ascii="Tahoma" w:hAnsi="Tahoma"/>
      <w:sz w:val="24"/>
      <w:szCs w:val="20"/>
    </w:rPr>
  </w:style>
  <w:style w:type="paragraph" w:styleId="1262" w:customStyle="1">
    <w:name w:val="Char Char Char Char Char Char Char2"/>
    <w:basedOn w:val="1025"/>
    <w:uiPriority w:val="0"/>
    <w:qFormat/>
    <w:pPr>
      <w:ind w:firstLine="200"/>
      <w:spacing w:line="360" w:lineRule="auto"/>
    </w:pPr>
    <w:rPr>
      <w:rFonts w:eastAsia="仿宋_GB2312"/>
      <w:sz w:val="24"/>
    </w:rPr>
  </w:style>
  <w:style w:type="paragraph" w:styleId="1263" w:customStyle="1">
    <w:name w:val="正文缩进2"/>
    <w:basedOn w:val="1025"/>
    <w:uiPriority w:val="0"/>
    <w:qFormat/>
    <w:pPr>
      <w:ind w:firstLine="567"/>
      <w:spacing w:line="480" w:lineRule="exact"/>
      <w:widowControl/>
    </w:pPr>
    <w:rPr>
      <w:rFonts w:ascii="宋体"/>
      <w:color w:val="000000"/>
      <w:sz w:val="28"/>
      <w:szCs w:val="20"/>
      <w:lang w:val="zh-CN"/>
    </w:rPr>
  </w:style>
  <w:style w:type="paragraph" w:styleId="1264" w:customStyle="1">
    <w:name w:val="修订1"/>
    <w:uiPriority w:val="0"/>
    <w:qFormat/>
    <w:rPr>
      <w:rFonts w:ascii="Times New Roman" w:hAnsi="Times New Roman" w:eastAsia="宋体" w:cs="Times New Roman"/>
      <w:sz w:val="21"/>
      <w:szCs w:val="24"/>
      <w:lang w:val="en-US" w:eastAsia="zh-CN" w:bidi="ar-SA"/>
    </w:rPr>
  </w:style>
  <w:style w:type="paragraph" w:styleId="1265" w:customStyle="1">
    <w:name w:val="Char22"/>
    <w:basedOn w:val="1025"/>
    <w:uiPriority w:val="0"/>
    <w:qFormat/>
    <w:rPr>
      <w:rFonts w:ascii="Tahoma" w:hAnsi="Tahoma"/>
      <w:sz w:val="24"/>
      <w:szCs w:val="20"/>
    </w:rPr>
  </w:style>
  <w:style w:type="paragraph" w:styleId="1266" w:customStyle="1">
    <w:name w:val="Char Char Char Char Char Char Char Char Char Char2"/>
    <w:basedOn w:val="1025"/>
    <w:uiPriority w:val="0"/>
    <w:qFormat/>
    <w:rPr>
      <w:rFonts w:ascii="宋体" w:hAnsi="宋体" w:cs="Courier New"/>
      <w:sz w:val="32"/>
      <w:szCs w:val="32"/>
    </w:rPr>
  </w:style>
  <w:style w:type="paragraph" w:styleId="1267" w:customStyle="1">
    <w:name w:val="Char2 Char Char Char Char Char Char1"/>
    <w:basedOn w:val="1025"/>
    <w:uiPriority w:val="0"/>
    <w:qFormat/>
    <w:pPr>
      <w:jc w:val="center"/>
      <w:spacing w:line="400" w:lineRule="exact"/>
      <w:widowControl/>
    </w:pPr>
  </w:style>
  <w:style w:type="character" w:styleId="1268" w:customStyle="1">
    <w:name w:val="页脚 Char"/>
    <w:uiPriority w:val="0"/>
    <w:qFormat/>
    <w:rPr>
      <w:rFonts w:ascii="宋体" w:eastAsia="宋体"/>
      <w:sz w:val="18"/>
      <w:lang w:val="en-US" w:eastAsia="zh-CN" w:bidi="ar-SA"/>
    </w:rPr>
  </w:style>
  <w:style w:type="paragraph" w:styleId="1269" w:customStyle="1">
    <w:name w:val="Char Char41"/>
    <w:basedOn w:val="1025"/>
    <w:uiPriority w:val="0"/>
    <w:qFormat/>
    <w:pPr>
      <w:jc w:val="center"/>
      <w:spacing w:line="400" w:lineRule="exact"/>
      <w:widowControl/>
    </w:pPr>
  </w:style>
  <w:style w:type="character" w:styleId="1270" w:customStyle="1">
    <w:name w:val="批注文字 Char"/>
    <w:uiPriority w:val="99"/>
    <w:qFormat/>
    <w:rPr>
      <w:sz w:val="21"/>
      <w:szCs w:val="24"/>
    </w:rPr>
  </w:style>
  <w:style w:type="character" w:styleId="1271" w:customStyle="1">
    <w:name w:val="标题 Char"/>
    <w:uiPriority w:val="0"/>
    <w:qFormat/>
    <w:rPr>
      <w:b/>
      <w:sz w:val="32"/>
    </w:rPr>
  </w:style>
  <w:style w:type="paragraph" w:styleId="1272" w:customStyle="1">
    <w:name w:val="图例"/>
    <w:basedOn w:val="1025"/>
    <w:uiPriority w:val="0"/>
    <w:qFormat/>
    <w:pPr>
      <w:jc w:val="center"/>
      <w:spacing w:before="120" w:after="120" w:line="360" w:lineRule="auto"/>
    </w:pPr>
    <w:rPr>
      <w:rFonts w:eastAsia="仿宋_GB2312"/>
      <w:b/>
      <w:sz w:val="24"/>
      <w:szCs w:val="20"/>
    </w:rPr>
  </w:style>
  <w:style w:type="table" w:styleId="127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4" w:customStyle="1">
    <w:name w:val="Table Paragraph"/>
    <w:basedOn w:val="1025"/>
    <w:uiPriority w:val="1"/>
    <w:qFormat/>
    <w:pPr>
      <w:jc w:val="left"/>
    </w:pPr>
    <w:rPr>
      <w:rFonts w:ascii="宋体" w:hAnsi="宋体" w:cs="宋体"/>
      <w:sz w:val="22"/>
      <w:szCs w:val="22"/>
      <w:lang w:eastAsia="en-US"/>
    </w:rPr>
  </w:style>
  <w:style w:type="paragraph" w:styleId="1275" w:customStyle="1">
    <w:name w:val="成文日期"/>
    <w:basedOn w:val="1025"/>
    <w:link w:val="1276"/>
    <w:uiPriority w:val="0"/>
    <w:qFormat/>
    <w:pPr>
      <w:ind w:right="400" w:firstLine="200"/>
      <w:jc w:val="right"/>
      <w:spacing w:line="570" w:lineRule="exact"/>
    </w:pPr>
    <w:rPr>
      <w:rFonts w:ascii="仿宋_GB2312" w:eastAsia="仿宋_GB2312"/>
      <w:sz w:val="32"/>
      <w:szCs w:val="20"/>
    </w:rPr>
  </w:style>
  <w:style w:type="character" w:styleId="1276" w:customStyle="1">
    <w:name w:val="成文日期 Char"/>
    <w:link w:val="1275"/>
    <w:uiPriority w:val="0"/>
    <w:qFormat/>
    <w:rPr>
      <w:rFonts w:ascii="仿宋_GB2312" w:eastAsia="仿宋_GB2312"/>
      <w:sz w:val="32"/>
    </w:rPr>
  </w:style>
  <w:style w:type="paragraph" w:styleId="1277" w:customStyle="1">
    <w:name w:val="_Style 251"/>
    <w:uiPriority w:val="99"/>
    <w:unhideWhenUsed/>
    <w:qFormat/>
    <w:rPr>
      <w:rFonts w:ascii="Times New Roman" w:hAnsi="Times New Roman" w:eastAsia="宋体" w:cs="Times New Roman"/>
      <w:sz w:val="21"/>
      <w:szCs w:val="24"/>
      <w:lang w:val="en-US" w:eastAsia="zh-CN" w:bidi="ar-SA"/>
    </w:rPr>
  </w:style>
  <w:style w:type="paragraph" w:styleId="1278" w:customStyle="1">
    <w:name w:val="正文（缩进）"/>
    <w:basedOn w:val="1025"/>
    <w:uiPriority w:val="0"/>
    <w:qFormat/>
    <w:pPr>
      <w:ind w:firstLine="480"/>
    </w:pPr>
  </w:style>
  <w:style w:type="character" w:styleId="1279" w:customStyle="1">
    <w:name w:val="l-btn-text36"/>
    <w:uiPriority w:val="0"/>
    <w:qFormat/>
  </w:style>
  <w:style w:type="character" w:styleId="1280" w:customStyle="1">
    <w:name w:val="current"/>
    <w:uiPriority w:val="0"/>
    <w:qFormat/>
    <w:rPr>
      <w:b/>
      <w:bCs/>
      <w:color w:val="05a7d8"/>
      <w:sz w:val="18"/>
      <w:szCs w:val="18"/>
    </w:rPr>
  </w:style>
  <w:style w:type="character" w:styleId="1281" w:customStyle="1">
    <w:name w:val="l-btn-left"/>
    <w:uiPriority w:val="0"/>
    <w:qFormat/>
  </w:style>
  <w:style w:type="character" w:styleId="1282" w:customStyle="1">
    <w:name w:val="tree-title3"/>
    <w:uiPriority w:val="0"/>
    <w:qFormat/>
    <w:rPr>
      <w:sz w:val="18"/>
      <w:szCs w:val="18"/>
      <w:u w:val="none"/>
    </w:rPr>
  </w:style>
  <w:style w:type="character" w:styleId="1283" w:customStyle="1">
    <w:name w:val="l-btn-text"/>
    <w:uiPriority w:val="0"/>
    <w:qFormat/>
  </w:style>
  <w:style w:type="character" w:styleId="1284" w:customStyle="1">
    <w:name w:val="l-btn-text35"/>
    <w:uiPriority w:val="0"/>
    <w:qFormat/>
  </w:style>
  <w:style w:type="character" w:styleId="1285" w:customStyle="1">
    <w:name w:val="l-btn-text25"/>
    <w:uiPriority w:val="0"/>
    <w:qFormat/>
  </w:style>
  <w:style w:type="paragraph" w:styleId="1286" w:customStyle="1">
    <w:name w:val="段"/>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287" w:customStyle="1">
    <w:name w:val="正文1"/>
    <w:basedOn w:val="1025"/>
    <w:next w:val="1025"/>
    <w:uiPriority w:val="0"/>
    <w:qFormat/>
    <w:pPr>
      <w:ind w:left="420" w:firstLine="527"/>
      <w:spacing w:before="120" w:line="360" w:lineRule="auto"/>
    </w:pPr>
    <w:rPr>
      <w:rFonts w:ascii="宋体" w:hAnsi="宋体"/>
    </w:rPr>
  </w:style>
  <w:style w:type="character" w:styleId="1288" w:customStyle="1">
    <w:name w:val="font151"/>
    <w:uiPriority w:val="0"/>
    <w:qFormat/>
    <w:rPr>
      <w:rFonts w:ascii="Arial" w:hAnsi="Arial" w:cs="Arial"/>
      <w:color w:val="000000"/>
      <w:sz w:val="16"/>
      <w:szCs w:val="16"/>
      <w:u w:val="none"/>
    </w:rPr>
  </w:style>
  <w:style w:type="character" w:styleId="1289" w:customStyle="1">
    <w:name w:val="font161"/>
    <w:uiPriority w:val="0"/>
    <w:qFormat/>
    <w:rPr>
      <w:rFonts w:hint="eastAsia" w:ascii="宋体" w:hAnsi="宋体" w:eastAsia="宋体" w:cs="宋体"/>
      <w:color w:val="000000"/>
      <w:sz w:val="16"/>
      <w:szCs w:val="16"/>
      <w:u w:val="none"/>
    </w:rPr>
  </w:style>
  <w:style w:type="paragraph" w:styleId="1290" w:customStyle="1">
    <w:name w:val="列表段落1"/>
    <w:basedOn w:val="1025"/>
    <w:uiPriority w:val="34"/>
    <w:qFormat/>
    <w:pPr>
      <w:ind w:firstLine="420"/>
    </w:pPr>
  </w:style>
  <w:style w:type="character" w:styleId="1291" w:customStyle="1">
    <w:name w:val="font181"/>
    <w:uiPriority w:val="0"/>
    <w:qFormat/>
    <w:rPr>
      <w:rFonts w:ascii="微软雅黑" w:hAnsi="微软雅黑" w:eastAsia="微软雅黑" w:cs="微软雅黑"/>
      <w:color w:val="000000"/>
      <w:sz w:val="18"/>
      <w:szCs w:val="18"/>
      <w:u w:val="none"/>
    </w:rPr>
  </w:style>
  <w:style w:type="paragraph" w:styleId="1292" w:customStyle="1">
    <w:name w:val="条款正文"/>
    <w:basedOn w:val="1025"/>
    <w:uiPriority w:val="0"/>
    <w:qFormat/>
    <w:pPr>
      <w:ind w:left="840" w:firstLine="420"/>
    </w:pPr>
    <w:rPr>
      <w:szCs w:val="20"/>
    </w:rPr>
  </w:style>
  <w:style w:type="character" w:styleId="1293" w:customStyle="1">
    <w:name w:val="font11"/>
    <w:basedOn w:val="1035"/>
    <w:uiPriority w:val="0"/>
    <w:qFormat/>
    <w:rPr>
      <w:rFonts w:hint="eastAsia" w:ascii="方正黑体_GBK" w:hAnsi="方正黑体_GBK" w:eastAsia="方正黑体_GBK" w:cs="方正黑体_GBK"/>
      <w:color w:val="000000"/>
      <w:sz w:val="24"/>
      <w:szCs w:val="24"/>
      <w:u w:val="none"/>
    </w:rPr>
  </w:style>
  <w:style w:type="character" w:styleId="1294" w:customStyle="1">
    <w:name w:val="font21"/>
    <w:basedOn w:val="1035"/>
    <w:uiPriority w:val="0"/>
    <w:qFormat/>
    <w:rPr>
      <w:rFonts w:hint="eastAsia" w:ascii="方正黑体_GBK" w:hAnsi="方正黑体_GBK" w:eastAsia="方正黑体_GBK" w:cs="方正黑体_GBK"/>
      <w:color w:val="000000"/>
      <w:sz w:val="24"/>
      <w:szCs w:val="24"/>
      <w:u w:val="none"/>
    </w:rPr>
  </w:style>
  <w:style w:type="paragraph" w:styleId="1295" w:customStyle="1">
    <w:name w:val="纯文本11"/>
    <w:basedOn w:val="1025"/>
    <w:next w:val="1296"/>
    <w:uiPriority w:val="0"/>
    <w:qFormat/>
    <w:rPr>
      <w:rFonts w:hint="eastAsia" w:ascii="宋体" w:hAnsi="Courier New"/>
      <w:szCs w:val="20"/>
    </w:rPr>
  </w:style>
  <w:style w:type="paragraph" w:styleId="1296" w:customStyle="1">
    <w:name w:val="正文缩进11"/>
    <w:basedOn w:val="1025"/>
    <w:next w:val="1025"/>
    <w:uiPriority w:val="99"/>
    <w:qFormat/>
    <w:pPr>
      <w:ind w:firstLine="420"/>
      <w:jc w:val="left"/>
    </w:pPr>
    <w:rPr>
      <w:rFonts w:ascii="宋体"/>
      <w:sz w:val="24"/>
    </w:rPr>
  </w:style>
  <w:style w:type="paragraph" w:styleId="1297" w:customStyle="1">
    <w:name w:val="正文首行缩进1"/>
    <w:basedOn w:val="1298"/>
    <w:next w:val="1025"/>
    <w:uiPriority w:val="99"/>
    <w:qFormat/>
    <w:pPr>
      <w:ind w:firstLine="420"/>
      <w:tabs>
        <w:tab w:val="left" w:pos="567" w:leader="none"/>
      </w:tabs>
    </w:pPr>
    <w:rPr>
      <w:sz w:val="20"/>
      <w:szCs w:val="20"/>
    </w:rPr>
  </w:style>
  <w:style w:type="paragraph" w:styleId="1298" w:customStyle="1">
    <w:name w:val="正文文本1"/>
    <w:basedOn w:val="1025"/>
    <w:uiPriority w:val="0"/>
    <w:qFormat/>
    <w:pPr>
      <w:spacing w:before="120" w:line="22" w:lineRule="atLeast"/>
      <w:tabs>
        <w:tab w:val="left" w:pos="567" w:leader="none"/>
      </w:tabs>
    </w:pPr>
    <w:rPr>
      <w:rFonts w:ascii="宋体" w:hAnsi="宋体"/>
      <w:sz w:val="24"/>
    </w:rPr>
  </w:style>
  <w:style w:type="paragraph" w:styleId="1299" w:customStyle="1">
    <w:name w:val="列出段落"/>
    <w:basedOn w:val="1025"/>
    <w:uiPriority w:val="34"/>
    <w:qFormat/>
    <w:pPr>
      <w:ind w:firstLine="420"/>
    </w:pPr>
    <w:rPr>
      <w:rFonts w:ascii="Calibri" w:hAnsi="Calibri"/>
      <w:szCs w:val="22"/>
    </w:rPr>
  </w:style>
  <w:style w:type="paragraph" w:styleId="1300" w:customStyle="1">
    <w:name w:val="Table Text"/>
    <w:basedOn w:val="1025"/>
    <w:uiPriority w:val="0"/>
    <w:semiHidden/>
    <w:qFormat/>
    <w:rPr>
      <w:rFonts w:ascii="宋体" w:hAnsi="宋体" w:eastAsia="宋体" w:cs="宋体"/>
      <w:sz w:val="25"/>
      <w:szCs w:val="25"/>
      <w:lang w:val="en-US" w:eastAsia="en-US" w:bidi="ar-SA"/>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8</cp:revision>
  <dcterms:created xsi:type="dcterms:W3CDTF">2022-05-31T08:08:00Z</dcterms:created>
  <dcterms:modified xsi:type="dcterms:W3CDTF">2025-12-18T00:56:31Z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6AA86AD7E8574E6785FA06A975E5528D_13</vt:lpwstr>
  </property>
  <property fmtid="{D5CDD505-2E9C-101B-9397-08002B2CF9AE}" pid="4" name="KSOTemplateDocerSaveRecord">
    <vt:lpwstr>eyJoZGlkIjoiMDAxZWM5YTdkNmNmNzUxZTNmMjg3MTIwOGZlNTI4MjciLCJ1c2VySWQiOiI0Nzk0ODkxMDMifQ==</vt:lpwstr>
  </property>
</Properties>
</file>